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1C0CD">
      <w:pPr>
        <w:jc w:val="center"/>
        <w:rPr>
          <w:rFonts w:hint="eastAsia" w:ascii="宋体" w:hAnsi="宋体" w:eastAsia="宋体" w:cs="宋体"/>
          <w:b/>
          <w:bCs/>
          <w:sz w:val="28"/>
          <w:szCs w:val="28"/>
        </w:rPr>
      </w:pPr>
      <w:r>
        <w:rPr>
          <w:rFonts w:hint="eastAsia" w:ascii="宋体" w:hAnsi="宋体" w:eastAsia="宋体" w:cs="宋体"/>
          <w:b/>
          <w:bCs/>
          <w:sz w:val="28"/>
          <w:szCs w:val="28"/>
        </w:rPr>
        <w:t>参数要求</w:t>
      </w:r>
      <w:bookmarkStart w:id="2" w:name="_GoBack"/>
      <w:bookmarkEnd w:id="2"/>
    </w:p>
    <w:tbl>
      <w:tblPr>
        <w:tblStyle w:val="11"/>
        <w:tblW w:w="10368"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1896"/>
        <w:gridCol w:w="4814"/>
        <w:gridCol w:w="716"/>
        <w:gridCol w:w="2072"/>
      </w:tblGrid>
      <w:tr w14:paraId="52DF7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70" w:type="dxa"/>
            <w:vAlign w:val="center"/>
          </w:tcPr>
          <w:p w14:paraId="34CE4700">
            <w:pPr>
              <w:jc w:val="center"/>
              <w:rPr>
                <w:rFonts w:hint="eastAsia" w:ascii="宋体" w:hAnsi="宋体" w:eastAsia="宋体" w:cs="宋体"/>
                <w:sz w:val="22"/>
              </w:rPr>
            </w:pPr>
            <w:bookmarkStart w:id="0" w:name="_Hlk72929207"/>
            <w:r>
              <w:rPr>
                <w:rFonts w:hint="eastAsia" w:ascii="宋体" w:hAnsi="宋体" w:eastAsia="宋体" w:cs="宋体"/>
                <w:sz w:val="22"/>
              </w:rPr>
              <w:t>产品名称</w:t>
            </w:r>
          </w:p>
        </w:tc>
        <w:tc>
          <w:tcPr>
            <w:tcW w:w="1896" w:type="dxa"/>
            <w:vAlign w:val="center"/>
          </w:tcPr>
          <w:p w14:paraId="68868C43">
            <w:pPr>
              <w:jc w:val="center"/>
              <w:rPr>
                <w:rFonts w:hint="eastAsia" w:ascii="宋体" w:hAnsi="宋体" w:eastAsia="宋体" w:cs="宋体"/>
                <w:sz w:val="22"/>
              </w:rPr>
            </w:pPr>
            <w:r>
              <w:rPr>
                <w:rFonts w:hint="eastAsia" w:ascii="宋体" w:hAnsi="宋体" w:eastAsia="宋体" w:cs="宋体"/>
                <w:sz w:val="22"/>
              </w:rPr>
              <w:t>品牌、型号</w:t>
            </w:r>
          </w:p>
        </w:tc>
        <w:tc>
          <w:tcPr>
            <w:tcW w:w="4814" w:type="dxa"/>
            <w:vAlign w:val="center"/>
          </w:tcPr>
          <w:p w14:paraId="0CBFC833">
            <w:pPr>
              <w:jc w:val="center"/>
              <w:rPr>
                <w:rFonts w:hint="eastAsia" w:ascii="宋体" w:hAnsi="宋体" w:eastAsia="宋体" w:cs="宋体"/>
                <w:sz w:val="22"/>
              </w:rPr>
            </w:pPr>
            <w:r>
              <w:rPr>
                <w:rFonts w:hint="eastAsia" w:ascii="宋体" w:hAnsi="宋体" w:eastAsia="宋体" w:cs="宋体"/>
                <w:sz w:val="22"/>
              </w:rPr>
              <w:t>产品描述</w:t>
            </w:r>
          </w:p>
        </w:tc>
        <w:tc>
          <w:tcPr>
            <w:tcW w:w="716" w:type="dxa"/>
            <w:vAlign w:val="center"/>
          </w:tcPr>
          <w:p w14:paraId="3470088C">
            <w:pPr>
              <w:jc w:val="center"/>
              <w:rPr>
                <w:rFonts w:hint="eastAsia" w:ascii="宋体" w:hAnsi="宋体" w:eastAsia="宋体" w:cs="宋体"/>
                <w:sz w:val="22"/>
              </w:rPr>
            </w:pPr>
            <w:r>
              <w:rPr>
                <w:rFonts w:hint="eastAsia" w:ascii="宋体" w:hAnsi="宋体" w:eastAsia="宋体" w:cs="宋体"/>
                <w:sz w:val="22"/>
              </w:rPr>
              <w:t>数量</w:t>
            </w:r>
          </w:p>
        </w:tc>
        <w:tc>
          <w:tcPr>
            <w:tcW w:w="2072" w:type="dxa"/>
            <w:vAlign w:val="center"/>
          </w:tcPr>
          <w:p w14:paraId="191CEB6E">
            <w:pPr>
              <w:jc w:val="center"/>
              <w:rPr>
                <w:rFonts w:hint="eastAsia" w:ascii="宋体" w:hAnsi="宋体" w:eastAsia="宋体" w:cs="宋体"/>
                <w:sz w:val="22"/>
              </w:rPr>
            </w:pPr>
            <w:r>
              <w:rPr>
                <w:rFonts w:hint="eastAsia" w:ascii="宋体" w:hAnsi="宋体" w:eastAsia="宋体" w:cs="宋体"/>
                <w:sz w:val="22"/>
              </w:rPr>
              <w:t>备注</w:t>
            </w:r>
          </w:p>
        </w:tc>
      </w:tr>
      <w:tr w14:paraId="3D52E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870" w:type="dxa"/>
            <w:vAlign w:val="center"/>
          </w:tcPr>
          <w:p w14:paraId="612CBABC">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下一代防火墙</w:t>
            </w:r>
          </w:p>
        </w:tc>
        <w:tc>
          <w:tcPr>
            <w:tcW w:w="1896" w:type="dxa"/>
            <w:vAlign w:val="center"/>
          </w:tcPr>
          <w:p w14:paraId="0C049E95">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深信服</w:t>
            </w:r>
          </w:p>
          <w:p w14:paraId="28447D44">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AF-1000-FH1300B</w:t>
            </w:r>
          </w:p>
        </w:tc>
        <w:tc>
          <w:tcPr>
            <w:tcW w:w="4814" w:type="dxa"/>
            <w:vAlign w:val="center"/>
          </w:tcPr>
          <w:p w14:paraId="5258E893">
            <w:pPr>
              <w:widowControl/>
              <w:numPr>
                <w:ilvl w:val="0"/>
                <w:numId w:val="3"/>
              </w:numPr>
              <w:textAlignment w:val="center"/>
              <w:rPr>
                <w:rFonts w:hint="eastAsia" w:ascii="宋体" w:hAnsi="宋体" w:eastAsia="宋体" w:cs="宋体"/>
                <w:sz w:val="20"/>
                <w:szCs w:val="20"/>
              </w:rPr>
            </w:pPr>
            <w:r>
              <w:rPr>
                <w:rFonts w:ascii="宋体" w:hAnsi="宋体" w:eastAsia="宋体" w:cs="宋体"/>
                <w:sz w:val="20"/>
                <w:szCs w:val="20"/>
              </w:rPr>
              <w:t>性能参数：网络层吞吐量≥3G，IPS吞吐量≥400M，内存≥4G，硬盘≥64G SSD，接口≥6千兆电口+2千兆光口SFP（包含相应模块）。</w:t>
            </w:r>
          </w:p>
          <w:p w14:paraId="37DF26B2">
            <w:pPr>
              <w:widowControl/>
              <w:textAlignment w:val="center"/>
              <w:rPr>
                <w:rFonts w:hint="eastAsia" w:ascii="宋体" w:hAnsi="宋体" w:eastAsia="宋体" w:cs="宋体"/>
                <w:sz w:val="20"/>
                <w:szCs w:val="20"/>
              </w:rPr>
            </w:pPr>
            <w:r>
              <w:rPr>
                <w:rFonts w:ascii="宋体" w:hAnsi="宋体" w:eastAsia="宋体" w:cs="宋体"/>
                <w:sz w:val="20"/>
                <w:szCs w:val="20"/>
              </w:rPr>
              <w:t>2、产品支持对ICMP、UDP、DNS、SYN等协议进行DDOS防护；产品支持异常数据包攻击防御，防护类型包括IP数据块分片传输防护、Teardrop攻击防护、Smurf攻击防护、Land攻击防护、WinNuke攻击防护等攻击类型。</w:t>
            </w:r>
          </w:p>
          <w:p w14:paraId="06DC4599">
            <w:pPr>
              <w:widowControl/>
              <w:textAlignment w:val="center"/>
              <w:rPr>
                <w:rFonts w:hint="eastAsia" w:ascii="宋体" w:hAnsi="宋体" w:eastAsia="宋体" w:cs="宋体"/>
                <w:sz w:val="20"/>
                <w:szCs w:val="20"/>
              </w:rPr>
            </w:pPr>
            <w:r>
              <w:rPr>
                <w:rFonts w:ascii="宋体" w:hAnsi="宋体" w:eastAsia="宋体" w:cs="宋体"/>
                <w:sz w:val="20"/>
                <w:szCs w:val="20"/>
              </w:rPr>
              <w:t>3、产品内置不低于15000种漏洞规则，同时支持在控制台界面通过漏洞ID、漏洞名称、危险等级、漏洞CVE标识、漏洞描述等条件查询漏洞特征信息，支持用户自定义IPS规则。（提供资料证明并加盖原厂公章）</w:t>
            </w:r>
          </w:p>
          <w:p w14:paraId="4B66A445">
            <w:pPr>
              <w:widowControl/>
              <w:textAlignment w:val="center"/>
              <w:rPr>
                <w:rFonts w:hint="eastAsia" w:ascii="宋体" w:hAnsi="宋体" w:eastAsia="宋体" w:cs="宋体"/>
                <w:sz w:val="20"/>
                <w:szCs w:val="20"/>
              </w:rPr>
            </w:pPr>
            <w:r>
              <w:rPr>
                <w:rFonts w:ascii="宋体" w:hAnsi="宋体" w:eastAsia="宋体" w:cs="宋体"/>
                <w:sz w:val="20"/>
                <w:szCs w:val="20"/>
              </w:rPr>
              <w:t>4、产品支持用户账号全生命周期保护功能，包括用户账号多余入口检测、用户账号弱口令检测、用户账号暴力破解检测、失陷账号检测，防止因账号被暴力破解导致的非法提权情况发生。</w:t>
            </w:r>
          </w:p>
          <w:p w14:paraId="3BB8D2EB">
            <w:pPr>
              <w:widowControl/>
              <w:textAlignment w:val="center"/>
              <w:rPr>
                <w:rFonts w:hint="eastAsia" w:ascii="宋体" w:hAnsi="宋体" w:eastAsia="宋体" w:cs="宋体"/>
                <w:sz w:val="20"/>
                <w:szCs w:val="20"/>
              </w:rPr>
            </w:pPr>
            <w:r>
              <w:rPr>
                <w:rFonts w:ascii="宋体" w:hAnsi="宋体" w:eastAsia="宋体" w:cs="宋体"/>
                <w:sz w:val="20"/>
                <w:szCs w:val="20"/>
              </w:rPr>
              <w:t>5、支持未知DNS、IP流量云端检测，并提供云端海量威胁情报、海量的规则+AI智能引擎检测能力，实现100MS内云端已知威胁拦截，未知威胁5分钟全网情报同步（提供资料证明并加盖原厂公章）</w:t>
            </w:r>
          </w:p>
          <w:p w14:paraId="3C8051C5">
            <w:pPr>
              <w:widowControl/>
              <w:textAlignment w:val="center"/>
              <w:rPr>
                <w:rFonts w:hint="eastAsia" w:ascii="宋体" w:hAnsi="宋体" w:eastAsia="宋体" w:cs="宋体"/>
                <w:sz w:val="20"/>
                <w:szCs w:val="20"/>
              </w:rPr>
            </w:pPr>
            <w:r>
              <w:rPr>
                <w:rFonts w:ascii="宋体" w:hAnsi="宋体" w:eastAsia="宋体" w:cs="宋体"/>
                <w:sz w:val="20"/>
                <w:szCs w:val="20"/>
              </w:rPr>
              <w:t>6、产品支持策略生命周期管理功能，支持对安全策略修改的时间、原因、变更类型进行统一管理，便于策略的运维与管理；产品支持安全策略有效性分析功能，分析内容至少包括策略冗余分析、策略匹配分析、风险端口风险等内容，提供安全策略优化建议。（提供资料证明并加盖原厂公章）</w:t>
            </w:r>
          </w:p>
          <w:p w14:paraId="21CDC896">
            <w:pPr>
              <w:widowControl/>
              <w:textAlignment w:val="center"/>
              <w:rPr>
                <w:rFonts w:hint="eastAsia" w:ascii="宋体" w:hAnsi="宋体" w:eastAsia="宋体" w:cs="宋体"/>
                <w:sz w:val="20"/>
                <w:szCs w:val="20"/>
              </w:rPr>
            </w:pPr>
            <w:r>
              <w:rPr>
                <w:rFonts w:ascii="宋体" w:hAnsi="宋体" w:eastAsia="宋体" w:cs="宋体"/>
                <w:sz w:val="20"/>
                <w:szCs w:val="20"/>
              </w:rPr>
              <w:t>7、产品支持https解密功能，支持TCP代理和SSL代理</w:t>
            </w:r>
          </w:p>
          <w:p w14:paraId="2DAF0CEC">
            <w:pPr>
              <w:widowControl/>
              <w:textAlignment w:val="center"/>
              <w:rPr>
                <w:rFonts w:hint="eastAsia" w:ascii="宋体" w:hAnsi="宋体" w:eastAsia="宋体" w:cs="宋体"/>
                <w:sz w:val="20"/>
                <w:szCs w:val="20"/>
              </w:rPr>
            </w:pPr>
            <w:r>
              <w:rPr>
                <w:rFonts w:ascii="宋体" w:hAnsi="宋体" w:eastAsia="宋体" w:cs="宋体"/>
                <w:sz w:val="20"/>
                <w:szCs w:val="20"/>
              </w:rPr>
              <w:t>8、包含三年软件升级及硬件质保</w:t>
            </w:r>
          </w:p>
        </w:tc>
        <w:tc>
          <w:tcPr>
            <w:tcW w:w="716" w:type="dxa"/>
            <w:vAlign w:val="center"/>
          </w:tcPr>
          <w:p w14:paraId="2F8F808B">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1台</w:t>
            </w:r>
          </w:p>
        </w:tc>
        <w:tc>
          <w:tcPr>
            <w:tcW w:w="2072" w:type="dxa"/>
          </w:tcPr>
          <w:p w14:paraId="7402FD74">
            <w:pPr>
              <w:widowControl/>
              <w:textAlignment w:val="center"/>
              <w:rPr>
                <w:rFonts w:hint="eastAsia" w:ascii="宋体" w:hAnsi="宋体" w:eastAsia="宋体" w:cs="宋体"/>
                <w:sz w:val="20"/>
                <w:szCs w:val="20"/>
              </w:rPr>
            </w:pPr>
          </w:p>
          <w:p w14:paraId="01E32DFC">
            <w:pPr>
              <w:widowControl/>
              <w:textAlignment w:val="center"/>
              <w:rPr>
                <w:rFonts w:hint="eastAsia" w:ascii="宋体" w:hAnsi="宋体" w:eastAsia="宋体" w:cs="宋体"/>
                <w:sz w:val="20"/>
                <w:szCs w:val="20"/>
              </w:rPr>
            </w:pPr>
          </w:p>
          <w:p w14:paraId="3F4E373E">
            <w:pPr>
              <w:widowControl/>
              <w:textAlignment w:val="center"/>
              <w:rPr>
                <w:rFonts w:hint="eastAsia" w:ascii="宋体" w:hAnsi="宋体" w:eastAsia="宋体" w:cs="宋体"/>
                <w:sz w:val="20"/>
                <w:szCs w:val="20"/>
              </w:rPr>
            </w:pPr>
          </w:p>
          <w:p w14:paraId="39A3CFE0">
            <w:pPr>
              <w:widowControl/>
              <w:textAlignment w:val="center"/>
              <w:rPr>
                <w:rFonts w:hint="eastAsia" w:ascii="宋体" w:hAnsi="宋体" w:eastAsia="宋体" w:cs="宋体"/>
                <w:sz w:val="20"/>
                <w:szCs w:val="20"/>
              </w:rPr>
            </w:pPr>
          </w:p>
          <w:p w14:paraId="7E871534">
            <w:pPr>
              <w:widowControl/>
              <w:textAlignment w:val="center"/>
              <w:rPr>
                <w:rFonts w:hint="eastAsia" w:ascii="宋体" w:hAnsi="宋体" w:eastAsia="宋体" w:cs="宋体"/>
                <w:sz w:val="20"/>
                <w:szCs w:val="20"/>
              </w:rPr>
            </w:pPr>
          </w:p>
          <w:p w14:paraId="4675D946">
            <w:pPr>
              <w:widowControl/>
              <w:textAlignment w:val="center"/>
              <w:rPr>
                <w:rFonts w:hint="eastAsia" w:ascii="宋体" w:hAnsi="宋体" w:eastAsia="宋体" w:cs="宋体"/>
                <w:sz w:val="20"/>
                <w:szCs w:val="20"/>
              </w:rPr>
            </w:pPr>
          </w:p>
          <w:p w14:paraId="2F8094E3">
            <w:pPr>
              <w:widowControl/>
              <w:textAlignment w:val="center"/>
              <w:rPr>
                <w:rFonts w:hint="eastAsia" w:ascii="宋体" w:hAnsi="宋体" w:eastAsia="宋体" w:cs="宋体"/>
                <w:sz w:val="20"/>
                <w:szCs w:val="20"/>
              </w:rPr>
            </w:pPr>
            <w:r>
              <w:rPr>
                <w:rFonts w:hint="eastAsia" w:ascii="宋体" w:hAnsi="宋体" w:eastAsia="宋体" w:cs="宋体"/>
                <w:sz w:val="20"/>
                <w:szCs w:val="20"/>
              </w:rPr>
              <w:t>含全模块，质保三年</w:t>
            </w:r>
          </w:p>
        </w:tc>
      </w:tr>
      <w:tr w14:paraId="2A9AE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trPr>
        <w:tc>
          <w:tcPr>
            <w:tcW w:w="870" w:type="dxa"/>
            <w:vAlign w:val="center"/>
          </w:tcPr>
          <w:p w14:paraId="2FB761F8">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日志审计</w:t>
            </w:r>
          </w:p>
        </w:tc>
        <w:tc>
          <w:tcPr>
            <w:tcW w:w="1896" w:type="dxa"/>
            <w:vAlign w:val="center"/>
          </w:tcPr>
          <w:p w14:paraId="29363EFD">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奇安信</w:t>
            </w:r>
          </w:p>
          <w:p w14:paraId="211B25DC">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LAS-R11P-QDFX</w:t>
            </w:r>
          </w:p>
        </w:tc>
        <w:tc>
          <w:tcPr>
            <w:tcW w:w="4814" w:type="dxa"/>
            <w:vAlign w:val="center"/>
          </w:tcPr>
          <w:p w14:paraId="29883A5F">
            <w:pPr>
              <w:widowControl/>
              <w:textAlignment w:val="center"/>
              <w:rPr>
                <w:rFonts w:ascii="宋体" w:hAnsi="宋体" w:eastAsia="宋体" w:cs="宋体"/>
                <w:sz w:val="20"/>
                <w:szCs w:val="20"/>
              </w:rPr>
            </w:pPr>
            <w:r>
              <w:rPr>
                <w:rFonts w:hint="eastAsia" w:ascii="宋体" w:hAnsi="宋体" w:eastAsia="宋体" w:cs="宋体"/>
                <w:sz w:val="20"/>
                <w:szCs w:val="20"/>
              </w:rPr>
              <w:t>1、综合每秒处理日志数(EPS)最大性能：2600。硬件规格：1U机箱，6个千兆电口，2个扩展插槽，1个Console接口，单电源，2TB硬盘。「包含60个日志源授权，三年硬件维保服务和3年软件升级维护服务。</w:t>
            </w:r>
          </w:p>
          <w:p w14:paraId="500C7D09">
            <w:pPr>
              <w:pStyle w:val="14"/>
              <w:numPr>
                <w:ilvl w:val="0"/>
                <w:numId w:val="3"/>
              </w:numPr>
              <w:ind w:firstLineChars="0"/>
              <w:rPr>
                <w:rFonts w:ascii="宋体" w:hAnsi="宋体" w:eastAsia="宋体" w:cs="宋体"/>
                <w:sz w:val="20"/>
                <w:szCs w:val="20"/>
              </w:rPr>
            </w:pPr>
            <w:r>
              <w:rPr>
                <w:rFonts w:hint="eastAsia" w:ascii="宋体" w:hAnsi="宋体" w:eastAsia="宋体" w:cs="宋体"/>
                <w:sz w:val="20"/>
                <w:szCs w:val="20"/>
              </w:rPr>
              <w:t>等保大屏：更好的应对等保合规检查，内置等保大屏展示。等保大屏界面必须包含（设备运行天数、日志源数量、原始日志数、关联事件数、告警总数、本地最早日志产生时间、已保存日志天数、平均每天日志存储量、存储空间情况）等</w:t>
            </w:r>
            <w:r>
              <w:rPr>
                <w:rFonts w:ascii="宋体" w:hAnsi="宋体" w:eastAsia="宋体" w:cs="宋体"/>
                <w:sz w:val="20"/>
                <w:szCs w:val="20"/>
              </w:rPr>
              <w:t>9大界面效果展示。（需提供能够体现上述功能的配置截图并加盖制造商公章）</w:t>
            </w:r>
          </w:p>
          <w:p w14:paraId="42DD3D73">
            <w:pPr>
              <w:pStyle w:val="14"/>
              <w:numPr>
                <w:ilvl w:val="0"/>
                <w:numId w:val="3"/>
              </w:numPr>
              <w:ind w:firstLineChars="0"/>
              <w:rPr>
                <w:rFonts w:hint="eastAsia" w:ascii="宋体" w:hAnsi="宋体" w:eastAsia="宋体" w:cs="宋体"/>
                <w:sz w:val="20"/>
                <w:szCs w:val="20"/>
              </w:rPr>
            </w:pPr>
            <w:r>
              <w:rPr>
                <w:rFonts w:hint="eastAsia" w:ascii="宋体" w:hAnsi="宋体" w:eastAsia="宋体" w:cs="宋体"/>
                <w:sz w:val="20"/>
                <w:szCs w:val="20"/>
              </w:rPr>
              <w:t>审计对象：支持审计各种网络设备（路由器、交换机等）配置日志、运行日志、告警日志等；支持审计各种安全设备（防火墙、</w:t>
            </w:r>
            <w:r>
              <w:rPr>
                <w:rFonts w:ascii="宋体" w:hAnsi="宋体" w:eastAsia="宋体" w:cs="宋体"/>
                <w:sz w:val="20"/>
                <w:szCs w:val="20"/>
              </w:rPr>
              <w:t>IDS、IPS、VPN、防病毒网关，网闸，防DDOS攻击，Web应用防火墙、等）配置日志、运行日志、告警日志等</w:t>
            </w:r>
            <w:r>
              <w:rPr>
                <w:rFonts w:hint="eastAsia" w:ascii="宋体" w:hAnsi="宋体" w:eastAsia="宋体" w:cs="宋体"/>
                <w:sz w:val="20"/>
                <w:szCs w:val="20"/>
              </w:rPr>
              <w:t>；支持审计各种主机操作系统（包括</w:t>
            </w:r>
            <w:r>
              <w:rPr>
                <w:rFonts w:ascii="宋体" w:hAnsi="宋体" w:eastAsia="宋体" w:cs="宋体"/>
                <w:sz w:val="20"/>
                <w:szCs w:val="20"/>
              </w:rPr>
              <w:t>Windows\Solaris\Linux\AIX\HP-UX\UNIX\AS400）配置日志、运行日志、告警日志等；</w:t>
            </w:r>
            <w:r>
              <w:rPr>
                <w:rFonts w:hint="eastAsia" w:ascii="宋体" w:hAnsi="宋体" w:eastAsia="宋体" w:cs="宋体"/>
                <w:sz w:val="20"/>
                <w:szCs w:val="20"/>
              </w:rPr>
              <w:t>支持审计各种数据库（</w:t>
            </w:r>
            <w:r>
              <w:rPr>
                <w:rFonts w:ascii="宋体" w:hAnsi="宋体" w:eastAsia="宋体" w:cs="宋体"/>
                <w:sz w:val="20"/>
                <w:szCs w:val="20"/>
              </w:rPr>
              <w:t>Oracle、Sqlserver、Mysql、DB2、Sybase、Informix）配置日志、运行日志、告警日志等</w:t>
            </w:r>
          </w:p>
          <w:p w14:paraId="1130B85B">
            <w:pPr>
              <w:pStyle w:val="4"/>
              <w:ind w:firstLine="0" w:firstLineChars="0"/>
              <w:rPr>
                <w:rFonts w:hint="eastAsia"/>
                <w:kern w:val="2"/>
                <w:sz w:val="20"/>
                <w:szCs w:val="20"/>
              </w:rPr>
            </w:pPr>
            <w:r>
              <w:rPr>
                <w:rFonts w:hint="eastAsia"/>
                <w:kern w:val="2"/>
                <w:sz w:val="20"/>
                <w:szCs w:val="20"/>
              </w:rPr>
              <w:t>4、资产管理：支持将资产按照多种维度进行分组、分域管理，如地理位置、组织结构、业务系统等，提供便捷的添加、修改、删除、查询与统计功能，支持资产组可以在页面不同的分组中移动。</w:t>
            </w:r>
          </w:p>
          <w:p w14:paraId="5AC4B397">
            <w:pPr>
              <w:widowControl/>
              <w:textAlignment w:val="center"/>
              <w:rPr>
                <w:rFonts w:ascii="宋体" w:hAnsi="宋体" w:eastAsia="宋体" w:cs="宋体"/>
                <w:sz w:val="20"/>
                <w:szCs w:val="20"/>
              </w:rPr>
            </w:pPr>
            <w:r>
              <w:rPr>
                <w:rFonts w:hint="eastAsia" w:ascii="宋体" w:hAnsi="宋体" w:eastAsia="宋体" w:cs="宋体"/>
                <w:sz w:val="20"/>
                <w:szCs w:val="20"/>
              </w:rPr>
              <w:t>5、地图显示：支持对资产</w:t>
            </w:r>
            <w:r>
              <w:rPr>
                <w:rFonts w:ascii="宋体" w:hAnsi="宋体" w:eastAsia="宋体" w:cs="宋体"/>
                <w:sz w:val="20"/>
                <w:szCs w:val="20"/>
              </w:rPr>
              <w:t>IP地址（含内网IP）的地理信息进行管理，设置单IP及IP段行政区及经纬度，支持地图显示</w:t>
            </w:r>
            <w:r>
              <w:rPr>
                <w:rFonts w:hint="eastAsia" w:ascii="宋体" w:hAnsi="宋体" w:eastAsia="宋体" w:cs="宋体"/>
                <w:sz w:val="20"/>
                <w:szCs w:val="20"/>
              </w:rPr>
              <w:t>。</w:t>
            </w:r>
            <w:r>
              <w:rPr>
                <w:rFonts w:ascii="宋体" w:hAnsi="宋体" w:eastAsia="宋体" w:cs="宋体"/>
                <w:sz w:val="20"/>
                <w:szCs w:val="20"/>
              </w:rPr>
              <w:t>（需提供能够体现上述功能的配置截图并加盖制造商公章）</w:t>
            </w:r>
          </w:p>
          <w:p w14:paraId="0F422C85">
            <w:pPr>
              <w:pStyle w:val="4"/>
              <w:ind w:firstLine="0" w:firstLineChars="0"/>
              <w:rPr>
                <w:rFonts w:hint="eastAsia"/>
                <w:kern w:val="2"/>
                <w:sz w:val="20"/>
                <w:szCs w:val="20"/>
              </w:rPr>
            </w:pPr>
            <w:r>
              <w:rPr>
                <w:rFonts w:hint="eastAsia"/>
                <w:kern w:val="2"/>
                <w:sz w:val="20"/>
                <w:szCs w:val="20"/>
              </w:rPr>
              <w:t>6、归一化处理：支持正则表达式、</w:t>
            </w:r>
            <w:r>
              <w:rPr>
                <w:kern w:val="2"/>
                <w:sz w:val="20"/>
                <w:szCs w:val="20"/>
              </w:rPr>
              <w:t>JSON、Key-Value、分隔符4种解析方案，支持日志自动化辅助范化</w:t>
            </w:r>
            <w:r>
              <w:rPr>
                <w:rFonts w:hint="eastAsia"/>
                <w:kern w:val="2"/>
                <w:sz w:val="20"/>
                <w:szCs w:val="20"/>
              </w:rPr>
              <w:t>。</w:t>
            </w:r>
            <w:r>
              <w:rPr>
                <w:kern w:val="2"/>
                <w:sz w:val="20"/>
                <w:szCs w:val="20"/>
              </w:rPr>
              <w:t>（需提供能够体现上述功能的配置截图并加盖制造商公章）</w:t>
            </w:r>
          </w:p>
          <w:p w14:paraId="5354CAB3">
            <w:pPr>
              <w:widowControl/>
              <w:textAlignment w:val="center"/>
              <w:rPr>
                <w:rFonts w:hint="eastAsia" w:ascii="宋体" w:hAnsi="宋体" w:eastAsia="宋体" w:cs="宋体"/>
                <w:sz w:val="20"/>
                <w:szCs w:val="20"/>
              </w:rPr>
            </w:pPr>
          </w:p>
        </w:tc>
        <w:tc>
          <w:tcPr>
            <w:tcW w:w="716" w:type="dxa"/>
            <w:vAlign w:val="center"/>
          </w:tcPr>
          <w:p w14:paraId="76F10B91">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1台</w:t>
            </w:r>
          </w:p>
        </w:tc>
        <w:tc>
          <w:tcPr>
            <w:tcW w:w="2072" w:type="dxa"/>
          </w:tcPr>
          <w:p w14:paraId="4E34FE72">
            <w:pPr>
              <w:widowControl/>
              <w:textAlignment w:val="center"/>
              <w:rPr>
                <w:rFonts w:hint="eastAsia" w:ascii="宋体" w:hAnsi="宋体" w:eastAsia="宋体" w:cs="宋体"/>
                <w:sz w:val="20"/>
                <w:szCs w:val="20"/>
              </w:rPr>
            </w:pPr>
          </w:p>
          <w:p w14:paraId="6D95072C">
            <w:pPr>
              <w:widowControl/>
              <w:textAlignment w:val="center"/>
              <w:rPr>
                <w:rFonts w:hint="eastAsia" w:ascii="宋体" w:hAnsi="宋体" w:eastAsia="宋体" w:cs="宋体"/>
                <w:sz w:val="20"/>
                <w:szCs w:val="20"/>
              </w:rPr>
            </w:pPr>
          </w:p>
          <w:p w14:paraId="22F299FB">
            <w:pPr>
              <w:widowControl/>
              <w:textAlignment w:val="center"/>
              <w:rPr>
                <w:rFonts w:hint="eastAsia" w:ascii="宋体" w:hAnsi="宋体" w:eastAsia="宋体" w:cs="宋体"/>
                <w:sz w:val="20"/>
                <w:szCs w:val="20"/>
              </w:rPr>
            </w:pPr>
          </w:p>
          <w:p w14:paraId="2BCCBBBE">
            <w:pPr>
              <w:widowControl/>
              <w:textAlignment w:val="center"/>
              <w:rPr>
                <w:rFonts w:hint="eastAsia" w:ascii="宋体" w:hAnsi="宋体" w:eastAsia="宋体" w:cs="宋体"/>
                <w:sz w:val="20"/>
                <w:szCs w:val="20"/>
              </w:rPr>
            </w:pPr>
          </w:p>
          <w:p w14:paraId="49338D44">
            <w:pPr>
              <w:widowControl/>
              <w:textAlignment w:val="center"/>
              <w:rPr>
                <w:rFonts w:hint="eastAsia" w:ascii="宋体" w:hAnsi="宋体" w:eastAsia="宋体" w:cs="宋体"/>
                <w:sz w:val="20"/>
                <w:szCs w:val="20"/>
              </w:rPr>
            </w:pPr>
          </w:p>
          <w:p w14:paraId="13D88CB2">
            <w:pPr>
              <w:widowControl/>
              <w:textAlignment w:val="center"/>
              <w:rPr>
                <w:rFonts w:hint="eastAsia" w:ascii="宋体" w:hAnsi="宋体" w:eastAsia="宋体" w:cs="宋体"/>
                <w:sz w:val="20"/>
                <w:szCs w:val="20"/>
              </w:rPr>
            </w:pPr>
            <w:r>
              <w:rPr>
                <w:rFonts w:hint="eastAsia" w:ascii="宋体" w:hAnsi="宋体" w:eastAsia="宋体" w:cs="宋体"/>
                <w:sz w:val="20"/>
                <w:szCs w:val="20"/>
              </w:rPr>
              <w:t>含全模块，质保三年</w:t>
            </w:r>
          </w:p>
        </w:tc>
      </w:tr>
      <w:tr w14:paraId="2104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trPr>
        <w:tc>
          <w:tcPr>
            <w:tcW w:w="870" w:type="dxa"/>
            <w:vAlign w:val="center"/>
          </w:tcPr>
          <w:p w14:paraId="1461ECC2">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杀毒软件EDR</w:t>
            </w:r>
          </w:p>
        </w:tc>
        <w:tc>
          <w:tcPr>
            <w:tcW w:w="1896" w:type="dxa"/>
            <w:vAlign w:val="center"/>
          </w:tcPr>
          <w:p w14:paraId="0BC4937D">
            <w:pPr>
              <w:widowControl/>
              <w:jc w:val="center"/>
              <w:textAlignment w:val="center"/>
              <w:rPr>
                <w:rFonts w:hint="eastAsia" w:ascii="宋体" w:hAnsi="宋体" w:eastAsia="宋体"/>
                <w:color w:val="000000"/>
                <w:sz w:val="24"/>
                <w:szCs w:val="28"/>
              </w:rPr>
            </w:pPr>
            <w:bookmarkStart w:id="1" w:name="_Toc98941796"/>
            <w:r>
              <w:rPr>
                <w:rFonts w:hint="eastAsia" w:ascii="宋体" w:hAnsi="宋体" w:eastAsia="宋体"/>
                <w:color w:val="000000"/>
                <w:sz w:val="24"/>
                <w:szCs w:val="28"/>
              </w:rPr>
              <w:t>深信服</w:t>
            </w:r>
          </w:p>
          <w:p w14:paraId="0F5AE10E">
            <w:pPr>
              <w:widowControl/>
              <w:jc w:val="center"/>
              <w:textAlignment w:val="center"/>
              <w:rPr>
                <w:rFonts w:hint="eastAsia" w:ascii="宋体" w:hAnsi="宋体" w:eastAsia="宋体" w:cs="宋体"/>
                <w:sz w:val="20"/>
                <w:szCs w:val="20"/>
              </w:rPr>
            </w:pPr>
            <w:r>
              <w:rPr>
                <w:rFonts w:hint="eastAsia" w:ascii="宋体" w:hAnsi="宋体" w:eastAsia="宋体"/>
                <w:color w:val="000000"/>
                <w:sz w:val="24"/>
                <w:szCs w:val="28"/>
              </w:rPr>
              <w:t>统一端点安全管理系统V6.0（aES）</w:t>
            </w:r>
          </w:p>
          <w:bookmarkEnd w:id="1"/>
        </w:tc>
        <w:tc>
          <w:tcPr>
            <w:tcW w:w="4814" w:type="dxa"/>
            <w:vAlign w:val="center"/>
          </w:tcPr>
          <w:p w14:paraId="51233E52">
            <w:pPr>
              <w:pStyle w:val="9"/>
              <w:widowControl/>
              <w:spacing w:after="160" w:line="28" w:lineRule="atLeast"/>
              <w:jc w:val="left"/>
              <w:rPr>
                <w:rFonts w:hint="eastAsia" w:ascii="宋体" w:hAnsi="宋体" w:eastAsia="宋体" w:cs="宋体"/>
                <w:sz w:val="20"/>
                <w:szCs w:val="20"/>
              </w:rPr>
            </w:pPr>
            <w:r>
              <w:rPr>
                <w:rFonts w:ascii="宋体" w:hAnsi="宋体" w:eastAsia="宋体" w:cs="宋体"/>
                <w:sz w:val="20"/>
                <w:szCs w:val="20"/>
              </w:rPr>
              <w:t>1、</w:t>
            </w:r>
            <w:r>
              <w:rPr>
                <w:rFonts w:hint="eastAsia" w:ascii="宋体" w:hAnsi="宋体" w:eastAsia="宋体" w:cs="宋体"/>
                <w:sz w:val="20"/>
                <w:szCs w:val="20"/>
              </w:rPr>
              <w:t>杀毒软件</w:t>
            </w:r>
            <w:r>
              <w:rPr>
                <w:rFonts w:ascii="宋体" w:hAnsi="宋体" w:eastAsia="宋体" w:cs="宋体"/>
                <w:sz w:val="20"/>
                <w:szCs w:val="20"/>
              </w:rPr>
              <w:t>可以纯软件交付，包含管理控制中心软件及终端客户端软件，其中管理控制中心可云化部署；管理平台要求其可在64位的Centos7或ubuntu操作系统部署；采用B/S架构的管理控制中心，具备终端安全可视，终端统一管理，统一威胁处置，统一漏洞修复，威胁响应处置，日志记录与查询等功能，本次包含不少于</w:t>
            </w:r>
            <w:r>
              <w:rPr>
                <w:rFonts w:hint="eastAsia" w:ascii="宋体" w:hAnsi="宋体" w:eastAsia="宋体" w:cs="宋体"/>
                <w:sz w:val="20"/>
                <w:szCs w:val="20"/>
              </w:rPr>
              <w:t>250</w:t>
            </w:r>
            <w:r>
              <w:rPr>
                <w:rFonts w:ascii="宋体" w:hAnsi="宋体" w:eastAsia="宋体" w:cs="宋体"/>
                <w:sz w:val="20"/>
                <w:szCs w:val="20"/>
              </w:rPr>
              <w:t>点PC端</w:t>
            </w:r>
            <w:r>
              <w:rPr>
                <w:rFonts w:hint="eastAsia" w:ascii="宋体" w:hAnsi="宋体" w:eastAsia="宋体" w:cs="宋体"/>
                <w:sz w:val="20"/>
                <w:szCs w:val="20"/>
              </w:rPr>
              <w:t>杀毒软件以及15点服务器端杀毒软件</w:t>
            </w:r>
          </w:p>
          <w:p w14:paraId="501ABC5C">
            <w:pPr>
              <w:pStyle w:val="9"/>
              <w:widowControl/>
              <w:spacing w:after="160" w:line="28" w:lineRule="atLeast"/>
              <w:jc w:val="left"/>
              <w:rPr>
                <w:rFonts w:hint="eastAsia" w:ascii="宋体" w:hAnsi="宋体" w:eastAsia="宋体" w:cs="宋体"/>
                <w:sz w:val="20"/>
                <w:szCs w:val="20"/>
              </w:rPr>
            </w:pPr>
            <w:r>
              <w:rPr>
                <w:rFonts w:ascii="宋体" w:hAnsi="宋体" w:eastAsia="宋体" w:cs="宋体"/>
                <w:sz w:val="20"/>
                <w:szCs w:val="20"/>
              </w:rPr>
              <w:t>2、支持多维度威胁展示，包括但不限于未处理的勒索病毒数量、高级威胁、暴力破解、僵尸网络、WebShell后门、高危漏洞及其各自影响的终端数量</w:t>
            </w:r>
          </w:p>
          <w:p w14:paraId="2CB8F6D5">
            <w:pPr>
              <w:pStyle w:val="9"/>
              <w:widowControl/>
              <w:spacing w:after="160" w:line="28" w:lineRule="atLeast"/>
              <w:jc w:val="left"/>
              <w:rPr>
                <w:rFonts w:hint="eastAsia" w:ascii="宋体" w:hAnsi="宋体" w:eastAsia="宋体" w:cs="宋体"/>
                <w:sz w:val="20"/>
                <w:szCs w:val="20"/>
              </w:rPr>
            </w:pPr>
            <w:r>
              <w:rPr>
                <w:rFonts w:ascii="宋体" w:hAnsi="宋体" w:eastAsia="宋体" w:cs="宋体"/>
                <w:sz w:val="20"/>
                <w:szCs w:val="20"/>
              </w:rPr>
              <w:t>3、支持终端客户端软件的启用禁用，统一重启和卸载客户端软件；支持安全策略一体化配置，通过单一策略即可实现不同安全功能的配置，包括：终端病毒查杀的文件扫描配置、文件实时监控的参数配置、WebShell检测和威胁处置方式、暴力破解的威胁处置方式和Windows白名单信任目录</w:t>
            </w:r>
          </w:p>
          <w:p w14:paraId="4EE201F3">
            <w:pPr>
              <w:pStyle w:val="9"/>
              <w:widowControl/>
              <w:spacing w:after="160" w:line="28" w:lineRule="atLeast"/>
              <w:jc w:val="left"/>
              <w:rPr>
                <w:rFonts w:hint="eastAsia" w:ascii="宋体" w:hAnsi="宋体" w:eastAsia="宋体" w:cs="宋体"/>
                <w:sz w:val="20"/>
                <w:szCs w:val="20"/>
              </w:rPr>
            </w:pPr>
            <w:r>
              <w:rPr>
                <w:rFonts w:ascii="宋体" w:hAnsi="宋体" w:eastAsia="宋体" w:cs="宋体"/>
                <w:sz w:val="20"/>
                <w:szCs w:val="20"/>
              </w:rPr>
              <w:t>4、支持一键云鉴定服务，提供云端专家+沙箱+多引擎鉴定能力，结合云端威胁情报对已告警的威胁文件再次进行综合研判并给出100%黑白结果，用户可自助对管理平台告警的威胁快速判断是否误报和了解威胁详情。</w:t>
            </w:r>
          </w:p>
          <w:p w14:paraId="4F71A670">
            <w:pPr>
              <w:pStyle w:val="9"/>
              <w:widowControl/>
              <w:spacing w:after="160" w:line="28" w:lineRule="atLeast"/>
              <w:jc w:val="left"/>
              <w:rPr>
                <w:rFonts w:hint="eastAsia" w:ascii="宋体" w:hAnsi="宋体" w:eastAsia="宋体" w:cs="宋体"/>
                <w:sz w:val="20"/>
                <w:szCs w:val="20"/>
              </w:rPr>
            </w:pPr>
            <w:r>
              <w:rPr>
                <w:rFonts w:ascii="宋体" w:hAnsi="宋体" w:eastAsia="宋体" w:cs="宋体"/>
                <w:sz w:val="20"/>
                <w:szCs w:val="20"/>
              </w:rPr>
              <w:t>5、基于勒索病毒攻击过程，建立多维度立体防护机制，提供事前入侵防御-事中反加密-事后检测响应的完整防护体系，展示勒索病毒处置情况，对勒索病毒及变种实现专门有效防御</w:t>
            </w:r>
          </w:p>
          <w:p w14:paraId="560AE463">
            <w:pPr>
              <w:pStyle w:val="9"/>
              <w:widowControl/>
              <w:spacing w:after="160" w:line="28" w:lineRule="atLeast"/>
              <w:jc w:val="left"/>
              <w:rPr>
                <w:rFonts w:hint="eastAsia" w:ascii="宋体" w:hAnsi="宋体" w:eastAsia="宋体" w:cs="宋体"/>
                <w:sz w:val="20"/>
                <w:szCs w:val="20"/>
              </w:rPr>
            </w:pPr>
            <w:r>
              <w:rPr>
                <w:rFonts w:ascii="宋体" w:hAnsi="宋体" w:eastAsia="宋体" w:cs="宋体"/>
                <w:sz w:val="20"/>
                <w:szCs w:val="20"/>
              </w:rPr>
              <w:t>6、windows终端合规检查，一键式操作对指定终端/终端组进行合规性检查，包括身份鉴别、访问控制、安全审计、剩余信息保护、入侵防范、恶意代码防范，对不合规的检查项提供设置建议，并可视化展示终端的基线合规检查结果</w:t>
            </w:r>
            <w:r>
              <w:rPr>
                <w:rFonts w:hint="eastAsia" w:ascii="宋体" w:hAnsi="宋体" w:eastAsia="宋体" w:cs="宋体"/>
                <w:sz w:val="20"/>
                <w:szCs w:val="20"/>
              </w:rPr>
              <w:t>（提供资料证明并加盖原厂公章）</w:t>
            </w:r>
          </w:p>
          <w:p w14:paraId="7AE891AA">
            <w:pPr>
              <w:pStyle w:val="9"/>
              <w:widowControl/>
              <w:spacing w:after="160" w:line="28" w:lineRule="atLeast"/>
              <w:jc w:val="left"/>
              <w:rPr>
                <w:rFonts w:hint="eastAsia" w:ascii="宋体" w:hAnsi="宋体" w:eastAsia="宋体" w:cs="宋体"/>
                <w:sz w:val="20"/>
                <w:szCs w:val="20"/>
              </w:rPr>
            </w:pPr>
            <w:r>
              <w:rPr>
                <w:rFonts w:ascii="宋体" w:hAnsi="宋体" w:eastAsia="宋体" w:cs="宋体"/>
                <w:sz w:val="20"/>
                <w:szCs w:val="20"/>
              </w:rPr>
              <w:t>7、通过智能识别终端环境情况（低配硬件、老旧设备、虚拟化等）和当前终端资源占用，在闲时实时监控和病毒扫描场景，都可智能调整EDR的资源占用（CPU、IO等），为业务让出资源，不卡业务，对业务零摩擦。</w:t>
            </w:r>
            <w:r>
              <w:rPr>
                <w:rFonts w:hint="eastAsia" w:ascii="宋体" w:hAnsi="宋体" w:eastAsia="宋体" w:cs="宋体"/>
                <w:sz w:val="20"/>
                <w:szCs w:val="20"/>
              </w:rPr>
              <w:t>（提供资料证明并加盖原厂公章）</w:t>
            </w:r>
          </w:p>
          <w:p w14:paraId="73906F3E">
            <w:pPr>
              <w:pStyle w:val="9"/>
              <w:widowControl/>
              <w:spacing w:after="160" w:line="28" w:lineRule="atLeast"/>
              <w:jc w:val="left"/>
              <w:rPr>
                <w:rFonts w:hint="eastAsia" w:ascii="宋体" w:hAnsi="宋体" w:eastAsia="宋体" w:cs="宋体"/>
                <w:sz w:val="20"/>
                <w:szCs w:val="20"/>
              </w:rPr>
            </w:pPr>
            <w:r>
              <w:rPr>
                <w:rFonts w:hint="eastAsia" w:ascii="宋体" w:hAnsi="宋体" w:eastAsia="宋体" w:cs="宋体"/>
                <w:sz w:val="20"/>
                <w:szCs w:val="20"/>
              </w:rPr>
              <w:t>8、包含三年软件升级及质保</w:t>
            </w:r>
          </w:p>
        </w:tc>
        <w:tc>
          <w:tcPr>
            <w:tcW w:w="716" w:type="dxa"/>
            <w:vAlign w:val="center"/>
          </w:tcPr>
          <w:p w14:paraId="07089C02">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15服务器</w:t>
            </w:r>
          </w:p>
          <w:p w14:paraId="70559D37">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250pc</w:t>
            </w:r>
          </w:p>
        </w:tc>
        <w:tc>
          <w:tcPr>
            <w:tcW w:w="2072" w:type="dxa"/>
          </w:tcPr>
          <w:p w14:paraId="5BE71AD3">
            <w:pPr>
              <w:widowControl/>
              <w:textAlignment w:val="center"/>
              <w:rPr>
                <w:rFonts w:hint="eastAsia" w:ascii="宋体" w:hAnsi="宋体" w:eastAsia="宋体" w:cs="宋体"/>
                <w:sz w:val="20"/>
                <w:szCs w:val="20"/>
              </w:rPr>
            </w:pPr>
          </w:p>
          <w:p w14:paraId="4503E42C">
            <w:pPr>
              <w:widowControl/>
              <w:textAlignment w:val="center"/>
              <w:rPr>
                <w:rFonts w:hint="eastAsia" w:ascii="宋体" w:hAnsi="宋体" w:eastAsia="宋体" w:cs="宋体"/>
                <w:sz w:val="20"/>
                <w:szCs w:val="20"/>
              </w:rPr>
            </w:pPr>
          </w:p>
          <w:p w14:paraId="7FBD9D50">
            <w:pPr>
              <w:widowControl/>
              <w:textAlignment w:val="center"/>
              <w:rPr>
                <w:rFonts w:hint="eastAsia" w:ascii="宋体" w:hAnsi="宋体" w:eastAsia="宋体" w:cs="宋体"/>
                <w:sz w:val="20"/>
                <w:szCs w:val="20"/>
              </w:rPr>
            </w:pPr>
          </w:p>
          <w:p w14:paraId="128B2703">
            <w:pPr>
              <w:widowControl/>
              <w:textAlignment w:val="center"/>
              <w:rPr>
                <w:rFonts w:hint="eastAsia" w:ascii="宋体" w:hAnsi="宋体" w:eastAsia="宋体" w:cs="宋体"/>
                <w:sz w:val="20"/>
                <w:szCs w:val="20"/>
              </w:rPr>
            </w:pPr>
          </w:p>
          <w:p w14:paraId="4560A772">
            <w:pPr>
              <w:widowControl/>
              <w:textAlignment w:val="center"/>
              <w:rPr>
                <w:rFonts w:hint="eastAsia" w:ascii="宋体" w:hAnsi="宋体" w:eastAsia="宋体" w:cs="宋体"/>
                <w:sz w:val="20"/>
                <w:szCs w:val="20"/>
              </w:rPr>
            </w:pPr>
          </w:p>
          <w:p w14:paraId="51E3D533">
            <w:pPr>
              <w:widowControl/>
              <w:textAlignment w:val="center"/>
              <w:rPr>
                <w:rFonts w:hint="eastAsia" w:ascii="宋体" w:hAnsi="宋体" w:eastAsia="宋体" w:cs="宋体"/>
                <w:sz w:val="20"/>
                <w:szCs w:val="20"/>
              </w:rPr>
            </w:pPr>
          </w:p>
          <w:p w14:paraId="3821CCD7">
            <w:pPr>
              <w:widowControl/>
              <w:textAlignment w:val="center"/>
              <w:rPr>
                <w:rFonts w:hint="eastAsia" w:ascii="宋体" w:hAnsi="宋体" w:eastAsia="宋体" w:cs="宋体"/>
                <w:sz w:val="20"/>
                <w:szCs w:val="20"/>
              </w:rPr>
            </w:pPr>
            <w:r>
              <w:rPr>
                <w:rFonts w:hint="eastAsia" w:ascii="宋体" w:hAnsi="宋体" w:eastAsia="宋体" w:cs="宋体"/>
                <w:sz w:val="20"/>
                <w:szCs w:val="20"/>
              </w:rPr>
              <w:t>含全模块，质保三年</w:t>
            </w:r>
          </w:p>
        </w:tc>
      </w:tr>
      <w:tr w14:paraId="0B3D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70" w:type="dxa"/>
            <w:vAlign w:val="center"/>
          </w:tcPr>
          <w:p w14:paraId="41A54FCE">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上网行为管理</w:t>
            </w:r>
          </w:p>
        </w:tc>
        <w:tc>
          <w:tcPr>
            <w:tcW w:w="1896" w:type="dxa"/>
            <w:vAlign w:val="center"/>
          </w:tcPr>
          <w:p w14:paraId="7DF36321">
            <w:pPr>
              <w:widowControl/>
              <w:jc w:val="center"/>
              <w:textAlignment w:val="center"/>
              <w:rPr>
                <w:rFonts w:hint="eastAsia" w:ascii="宋体" w:hAnsi="宋体" w:eastAsia="宋体"/>
                <w:color w:val="000000"/>
                <w:sz w:val="24"/>
                <w:szCs w:val="28"/>
              </w:rPr>
            </w:pPr>
            <w:r>
              <w:rPr>
                <w:rFonts w:hint="eastAsia" w:ascii="宋体" w:hAnsi="宋体" w:eastAsia="宋体"/>
                <w:color w:val="000000"/>
                <w:sz w:val="24"/>
                <w:szCs w:val="28"/>
              </w:rPr>
              <w:t>深信服</w:t>
            </w:r>
          </w:p>
          <w:p w14:paraId="7D2EEC42">
            <w:pPr>
              <w:widowControl/>
              <w:jc w:val="center"/>
              <w:textAlignment w:val="center"/>
              <w:rPr>
                <w:rFonts w:hint="eastAsia" w:ascii="宋体" w:hAnsi="宋体" w:eastAsia="宋体" w:cs="宋体"/>
                <w:sz w:val="20"/>
                <w:szCs w:val="20"/>
              </w:rPr>
            </w:pPr>
            <w:r>
              <w:rPr>
                <w:rFonts w:hint="eastAsia" w:ascii="宋体" w:hAnsi="宋体" w:eastAsia="宋体"/>
                <w:color w:val="000000"/>
                <w:sz w:val="24"/>
                <w:szCs w:val="28"/>
              </w:rPr>
              <w:t>AC-1000-SK1300</w:t>
            </w:r>
          </w:p>
        </w:tc>
        <w:tc>
          <w:tcPr>
            <w:tcW w:w="4814" w:type="dxa"/>
            <w:vAlign w:val="center"/>
          </w:tcPr>
          <w:p w14:paraId="42831709">
            <w:pPr>
              <w:pStyle w:val="9"/>
              <w:widowControl/>
              <w:spacing w:after="160" w:line="28" w:lineRule="atLeast"/>
              <w:jc w:val="left"/>
              <w:rPr>
                <w:rFonts w:hint="eastAsia" w:ascii="宋体" w:hAnsi="宋体" w:eastAsia="宋体" w:cs="宋体"/>
                <w:sz w:val="20"/>
                <w:szCs w:val="20"/>
              </w:rPr>
            </w:pPr>
            <w:r>
              <w:rPr>
                <w:rFonts w:ascii="宋体" w:hAnsi="宋体" w:eastAsia="宋体" w:cs="宋体"/>
                <w:sz w:val="20"/>
                <w:szCs w:val="20"/>
              </w:rPr>
              <w:t>1、所投产品网络层吞吐量≥</w:t>
            </w:r>
            <w:r>
              <w:rPr>
                <w:rFonts w:hint="eastAsia" w:ascii="宋体" w:hAnsi="宋体" w:eastAsia="宋体" w:cs="宋体"/>
                <w:sz w:val="20"/>
                <w:szCs w:val="20"/>
              </w:rPr>
              <w:t>3.6</w:t>
            </w:r>
            <w:r>
              <w:rPr>
                <w:rFonts w:ascii="宋体" w:hAnsi="宋体" w:eastAsia="宋体" w:cs="宋体"/>
                <w:sz w:val="20"/>
                <w:szCs w:val="20"/>
              </w:rPr>
              <w:t>Gbps，应用层吞吐量≥</w:t>
            </w:r>
            <w:r>
              <w:rPr>
                <w:rFonts w:hint="eastAsia" w:ascii="宋体" w:hAnsi="宋体" w:eastAsia="宋体" w:cs="宋体"/>
                <w:sz w:val="20"/>
                <w:szCs w:val="20"/>
              </w:rPr>
              <w:t>450M</w:t>
            </w:r>
            <w:r>
              <w:rPr>
                <w:rFonts w:ascii="宋体" w:hAnsi="宋体" w:eastAsia="宋体" w:cs="宋体"/>
                <w:sz w:val="20"/>
                <w:szCs w:val="20"/>
              </w:rPr>
              <w:t>bps，支持用户数≥</w:t>
            </w:r>
            <w:r>
              <w:rPr>
                <w:rFonts w:hint="eastAsia" w:ascii="宋体" w:hAnsi="宋体" w:eastAsia="宋体" w:cs="宋体"/>
                <w:sz w:val="20"/>
                <w:szCs w:val="20"/>
              </w:rPr>
              <w:t>8</w:t>
            </w:r>
            <w:r>
              <w:rPr>
                <w:rFonts w:ascii="宋体" w:hAnsi="宋体" w:eastAsia="宋体" w:cs="宋体"/>
                <w:sz w:val="20"/>
                <w:szCs w:val="20"/>
              </w:rPr>
              <w:t>00，所投产品不少于6个以太网电口.</w:t>
            </w:r>
          </w:p>
          <w:p w14:paraId="3A178EA2">
            <w:pPr>
              <w:pStyle w:val="9"/>
              <w:widowControl/>
              <w:spacing w:after="160" w:line="28" w:lineRule="atLeast"/>
              <w:jc w:val="left"/>
              <w:rPr>
                <w:rFonts w:hint="eastAsia" w:ascii="宋体" w:hAnsi="宋体" w:eastAsia="宋体" w:cs="宋体"/>
                <w:sz w:val="20"/>
                <w:szCs w:val="20"/>
              </w:rPr>
            </w:pPr>
            <w:r>
              <w:rPr>
                <w:rFonts w:ascii="宋体" w:hAnsi="宋体" w:eastAsia="宋体" w:cs="宋体"/>
                <w:sz w:val="20"/>
                <w:szCs w:val="20"/>
              </w:rPr>
              <w:t>2、不同用户推送不同认证页面，该认证页面可自定义，编辑内容包括文字、颜色风格、图片，且图片支持轮询播放；</w:t>
            </w:r>
            <w:r>
              <w:rPr>
                <w:rFonts w:hint="eastAsia" w:ascii="宋体" w:hAnsi="宋体" w:eastAsia="宋体" w:cs="宋体"/>
                <w:sz w:val="20"/>
                <w:szCs w:val="20"/>
              </w:rPr>
              <w:t>（提供资料证明并加盖原厂公章）</w:t>
            </w:r>
          </w:p>
          <w:p w14:paraId="34C7B8F0">
            <w:pPr>
              <w:pStyle w:val="9"/>
              <w:widowControl/>
              <w:spacing w:after="160" w:line="28" w:lineRule="atLeast"/>
              <w:jc w:val="left"/>
              <w:rPr>
                <w:rFonts w:hint="eastAsia" w:ascii="宋体" w:hAnsi="宋体" w:eastAsia="宋体" w:cs="宋体"/>
                <w:sz w:val="20"/>
                <w:szCs w:val="20"/>
              </w:rPr>
            </w:pPr>
            <w:r>
              <w:rPr>
                <w:rFonts w:ascii="宋体" w:hAnsi="宋体" w:eastAsia="宋体" w:cs="宋体"/>
                <w:sz w:val="20"/>
                <w:szCs w:val="20"/>
              </w:rPr>
              <w:t>3、支持认证页面分权分域管理；启用后，普通管理员只能看到自己有权限的页面，其他管理员页面不可见； 系统管理员可以将某个页面授权给指定的普通管理员管理；</w:t>
            </w:r>
          </w:p>
          <w:p w14:paraId="6D0EB217">
            <w:pPr>
              <w:pStyle w:val="9"/>
              <w:widowControl/>
              <w:spacing w:after="160" w:line="28" w:lineRule="atLeast"/>
              <w:jc w:val="left"/>
              <w:rPr>
                <w:rFonts w:hint="eastAsia" w:ascii="宋体" w:hAnsi="宋体" w:eastAsia="宋体" w:cs="宋体"/>
                <w:sz w:val="20"/>
                <w:szCs w:val="20"/>
              </w:rPr>
            </w:pPr>
            <w:r>
              <w:rPr>
                <w:rFonts w:ascii="宋体" w:hAnsi="宋体" w:eastAsia="宋体" w:cs="宋体"/>
                <w:sz w:val="20"/>
                <w:szCs w:val="20"/>
              </w:rPr>
              <w:t>4、支持触发式WEB认证、用户名密码认证、IP/MAC认证、短信认证、自注册认证； </w:t>
            </w:r>
          </w:p>
          <w:p w14:paraId="67D31390">
            <w:pPr>
              <w:pStyle w:val="9"/>
              <w:widowControl/>
              <w:spacing w:after="160" w:line="28" w:lineRule="atLeast"/>
              <w:jc w:val="left"/>
              <w:rPr>
                <w:rFonts w:hint="eastAsia" w:ascii="宋体" w:hAnsi="宋体" w:eastAsia="宋体" w:cs="宋体"/>
                <w:sz w:val="20"/>
                <w:szCs w:val="20"/>
              </w:rPr>
            </w:pPr>
            <w:r>
              <w:rPr>
                <w:rFonts w:ascii="宋体" w:hAnsi="宋体" w:eastAsia="宋体" w:cs="宋体"/>
                <w:sz w:val="20"/>
                <w:szCs w:val="20"/>
              </w:rPr>
              <w:t>5、支持二维码认证，担保人扫描访客的二维码后对其网络访问授权；支持访客填写信息、担保人填写信息、担保人扫码审核三种模式；</w:t>
            </w:r>
          </w:p>
          <w:p w14:paraId="27A27B38">
            <w:pPr>
              <w:pStyle w:val="9"/>
              <w:widowControl/>
              <w:spacing w:after="160" w:line="28" w:lineRule="atLeast"/>
              <w:jc w:val="left"/>
              <w:rPr>
                <w:rFonts w:hint="eastAsia" w:ascii="宋体" w:hAnsi="宋体" w:eastAsia="宋体" w:cs="宋体"/>
                <w:sz w:val="20"/>
                <w:szCs w:val="20"/>
              </w:rPr>
            </w:pPr>
            <w:r>
              <w:rPr>
                <w:rFonts w:ascii="宋体" w:hAnsi="宋体" w:eastAsia="宋体" w:cs="宋体"/>
                <w:sz w:val="20"/>
                <w:szCs w:val="20"/>
              </w:rPr>
              <w:t>6、支持图形化查看当前内网IP使用情况，帮助管理员减少人工维护IP表的工作量；</w:t>
            </w:r>
            <w:r>
              <w:rPr>
                <w:rFonts w:hint="eastAsia" w:ascii="宋体" w:hAnsi="宋体" w:eastAsia="宋体" w:cs="宋体"/>
                <w:sz w:val="20"/>
                <w:szCs w:val="20"/>
              </w:rPr>
              <w:t>（提供资料证明并加盖原厂公章）</w:t>
            </w:r>
          </w:p>
          <w:p w14:paraId="1F5DC925">
            <w:pPr>
              <w:pStyle w:val="9"/>
              <w:widowControl/>
              <w:spacing w:after="160" w:line="28" w:lineRule="atLeast"/>
              <w:jc w:val="left"/>
              <w:rPr>
                <w:rFonts w:hint="eastAsia" w:ascii="宋体" w:hAnsi="宋体" w:eastAsia="宋体" w:cs="宋体"/>
                <w:sz w:val="20"/>
                <w:szCs w:val="20"/>
              </w:rPr>
            </w:pPr>
            <w:r>
              <w:rPr>
                <w:rFonts w:ascii="宋体" w:hAnsi="宋体" w:eastAsia="宋体" w:cs="宋体"/>
                <w:sz w:val="20"/>
                <w:szCs w:val="20"/>
              </w:rPr>
              <w:t>7、自动发现网络里面的终端，并获取IP、Mac、厂商、操作系统等信息，设备必须支持PC、移动设备、哑终端、专用设备的发现和型号识别：至少支持Windows、Linux、MAC、瘦客户机等PC；至少支持手机、平板等移动设备；至少支持服务器、交换机、无线控制器等网络设备；至少支持打印机、投影仪、电视、摄像头、门禁系统等哑终端；支持自定义终端类型。</w:t>
            </w:r>
            <w:r>
              <w:rPr>
                <w:rFonts w:hint="eastAsia" w:ascii="宋体" w:hAnsi="宋体" w:eastAsia="宋体" w:cs="宋体"/>
                <w:sz w:val="20"/>
                <w:szCs w:val="20"/>
              </w:rPr>
              <w:t>（提供资料证明并加盖原厂公章）</w:t>
            </w:r>
          </w:p>
          <w:p w14:paraId="6BFA53F3">
            <w:pPr>
              <w:pStyle w:val="9"/>
              <w:widowControl/>
              <w:spacing w:after="160" w:line="28" w:lineRule="atLeast"/>
              <w:jc w:val="left"/>
              <w:rPr>
                <w:rFonts w:hint="eastAsia" w:ascii="宋体" w:hAnsi="宋体" w:eastAsia="宋体" w:cs="宋体"/>
                <w:sz w:val="20"/>
                <w:szCs w:val="20"/>
              </w:rPr>
            </w:pPr>
            <w:r>
              <w:rPr>
                <w:rFonts w:ascii="宋体" w:hAnsi="宋体" w:eastAsia="宋体" w:cs="宋体"/>
                <w:sz w:val="20"/>
                <w:szCs w:val="20"/>
              </w:rPr>
              <w:t>8、支持</w:t>
            </w:r>
            <w:r>
              <w:rPr>
                <w:rFonts w:hint="eastAsia" w:ascii="宋体" w:hAnsi="宋体" w:eastAsia="宋体" w:cs="宋体"/>
                <w:sz w:val="20"/>
                <w:szCs w:val="20"/>
              </w:rPr>
              <w:t>扩展</w:t>
            </w:r>
            <w:r>
              <w:rPr>
                <w:rFonts w:ascii="宋体" w:hAnsi="宋体" w:eastAsia="宋体" w:cs="宋体"/>
                <w:sz w:val="20"/>
                <w:szCs w:val="20"/>
              </w:rPr>
              <w:t>Windows终端安全检查，包括：杀软检查、登录域检查、操作系统检查、进程检查、文件检查、注册表检查、补丁检查、Windows账号检查、防篡改检查、客户端集成检查、软件检查，对不满足检查要求的终端可弹窗提示、禁止上网、违规修复；</w:t>
            </w:r>
          </w:p>
          <w:p w14:paraId="7D73845D">
            <w:pPr>
              <w:pStyle w:val="9"/>
              <w:widowControl/>
              <w:spacing w:after="160" w:line="28" w:lineRule="atLeast"/>
              <w:jc w:val="left"/>
              <w:rPr>
                <w:rFonts w:hint="eastAsia" w:ascii="宋体" w:hAnsi="宋体" w:eastAsia="宋体" w:cs="宋体"/>
                <w:sz w:val="20"/>
                <w:szCs w:val="20"/>
              </w:rPr>
            </w:pPr>
            <w:r>
              <w:rPr>
                <w:rFonts w:hint="eastAsia" w:ascii="宋体" w:hAnsi="宋体" w:eastAsia="宋体" w:cs="宋体"/>
                <w:sz w:val="20"/>
                <w:szCs w:val="20"/>
              </w:rPr>
              <w:t>9、支持对员工上网行为的审计，包含用户名、访问网址、访问时间等。</w:t>
            </w:r>
          </w:p>
          <w:p w14:paraId="53A9E3FD">
            <w:pPr>
              <w:pStyle w:val="9"/>
              <w:widowControl/>
              <w:spacing w:after="160" w:line="28" w:lineRule="atLeast"/>
              <w:jc w:val="left"/>
              <w:rPr>
                <w:rFonts w:hint="eastAsia" w:ascii="宋体" w:hAnsi="宋体" w:eastAsia="宋体" w:cs="宋体"/>
                <w:sz w:val="20"/>
                <w:szCs w:val="20"/>
              </w:rPr>
            </w:pPr>
            <w:r>
              <w:rPr>
                <w:rFonts w:hint="eastAsia" w:ascii="宋体" w:hAnsi="宋体" w:eastAsia="宋体" w:cs="宋体"/>
                <w:sz w:val="20"/>
                <w:szCs w:val="20"/>
              </w:rPr>
              <w:t>10、针对流量管理和优化，需支持对整体流量的分析，并对流量状态进行评级，能够直观的展示出来当前网络流量使用情况，并可以通过对上下行流量的管理实现网络流量的优化。（提供资料证明并加盖原厂公章）</w:t>
            </w:r>
          </w:p>
          <w:p w14:paraId="379C32A8">
            <w:pPr>
              <w:pStyle w:val="9"/>
              <w:widowControl/>
              <w:spacing w:after="160" w:line="28" w:lineRule="atLeast"/>
              <w:jc w:val="left"/>
              <w:rPr>
                <w:rFonts w:hint="eastAsia" w:ascii="宋体" w:hAnsi="宋体" w:eastAsia="宋体" w:cs="宋体"/>
                <w:sz w:val="20"/>
                <w:szCs w:val="20"/>
              </w:rPr>
            </w:pPr>
            <w:r>
              <w:rPr>
                <w:rFonts w:hint="eastAsia" w:ascii="宋体" w:hAnsi="宋体" w:eastAsia="宋体" w:cs="宋体"/>
                <w:sz w:val="20"/>
                <w:szCs w:val="20"/>
              </w:rPr>
              <w:t>11、包含三年软件升级和硬件质保</w:t>
            </w:r>
          </w:p>
          <w:p w14:paraId="724B1B9A">
            <w:pPr>
              <w:widowControl/>
              <w:textAlignment w:val="center"/>
              <w:rPr>
                <w:rFonts w:hint="eastAsia" w:ascii="宋体" w:hAnsi="宋体" w:eastAsia="宋体" w:cs="宋体"/>
                <w:sz w:val="20"/>
                <w:szCs w:val="20"/>
              </w:rPr>
            </w:pPr>
          </w:p>
        </w:tc>
        <w:tc>
          <w:tcPr>
            <w:tcW w:w="716" w:type="dxa"/>
            <w:vAlign w:val="center"/>
          </w:tcPr>
          <w:p w14:paraId="466ECC12">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1台</w:t>
            </w:r>
          </w:p>
        </w:tc>
        <w:tc>
          <w:tcPr>
            <w:tcW w:w="2072" w:type="dxa"/>
          </w:tcPr>
          <w:p w14:paraId="2A04D5F1">
            <w:pPr>
              <w:widowControl/>
              <w:textAlignment w:val="center"/>
              <w:rPr>
                <w:rFonts w:hint="eastAsia" w:ascii="宋体" w:hAnsi="宋体" w:eastAsia="宋体" w:cs="宋体"/>
                <w:sz w:val="20"/>
                <w:szCs w:val="20"/>
              </w:rPr>
            </w:pPr>
          </w:p>
          <w:p w14:paraId="36E450CF">
            <w:pPr>
              <w:widowControl/>
              <w:textAlignment w:val="center"/>
              <w:rPr>
                <w:rFonts w:hint="eastAsia" w:ascii="宋体" w:hAnsi="宋体" w:eastAsia="宋体" w:cs="宋体"/>
                <w:sz w:val="20"/>
                <w:szCs w:val="20"/>
              </w:rPr>
            </w:pPr>
          </w:p>
          <w:p w14:paraId="52CD6270">
            <w:pPr>
              <w:widowControl/>
              <w:textAlignment w:val="center"/>
              <w:rPr>
                <w:rFonts w:hint="eastAsia" w:ascii="宋体" w:hAnsi="宋体" w:eastAsia="宋体" w:cs="宋体"/>
                <w:sz w:val="20"/>
                <w:szCs w:val="20"/>
              </w:rPr>
            </w:pPr>
          </w:p>
          <w:p w14:paraId="1DA9976D">
            <w:pPr>
              <w:widowControl/>
              <w:textAlignment w:val="center"/>
              <w:rPr>
                <w:rFonts w:hint="eastAsia" w:ascii="宋体" w:hAnsi="宋体" w:eastAsia="宋体" w:cs="宋体"/>
                <w:sz w:val="20"/>
                <w:szCs w:val="20"/>
              </w:rPr>
            </w:pPr>
          </w:p>
          <w:p w14:paraId="6B160443">
            <w:pPr>
              <w:widowControl/>
              <w:textAlignment w:val="center"/>
              <w:rPr>
                <w:rFonts w:hint="eastAsia" w:ascii="宋体" w:hAnsi="宋体" w:eastAsia="宋体" w:cs="宋体"/>
                <w:sz w:val="20"/>
                <w:szCs w:val="20"/>
              </w:rPr>
            </w:pPr>
          </w:p>
          <w:p w14:paraId="2D95BF20">
            <w:pPr>
              <w:widowControl/>
              <w:textAlignment w:val="center"/>
              <w:rPr>
                <w:rFonts w:hint="eastAsia" w:ascii="宋体" w:hAnsi="宋体" w:eastAsia="宋体" w:cs="宋体"/>
                <w:sz w:val="20"/>
                <w:szCs w:val="20"/>
              </w:rPr>
            </w:pPr>
          </w:p>
          <w:p w14:paraId="6198187C">
            <w:pPr>
              <w:widowControl/>
              <w:textAlignment w:val="center"/>
              <w:rPr>
                <w:rFonts w:hint="eastAsia" w:ascii="宋体" w:hAnsi="宋体" w:eastAsia="宋体" w:cs="宋体"/>
                <w:sz w:val="20"/>
                <w:szCs w:val="20"/>
              </w:rPr>
            </w:pPr>
            <w:r>
              <w:rPr>
                <w:rFonts w:hint="eastAsia" w:ascii="宋体" w:hAnsi="宋体" w:eastAsia="宋体" w:cs="宋体"/>
                <w:sz w:val="20"/>
                <w:szCs w:val="20"/>
              </w:rPr>
              <w:t>含全模块，质保三年</w:t>
            </w:r>
          </w:p>
        </w:tc>
      </w:tr>
      <w:tr w14:paraId="0AF8D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7" w:hRule="atLeast"/>
        </w:trPr>
        <w:tc>
          <w:tcPr>
            <w:tcW w:w="870" w:type="dxa"/>
            <w:vAlign w:val="center"/>
          </w:tcPr>
          <w:p w14:paraId="4E9546C8">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堡垒机</w:t>
            </w:r>
          </w:p>
        </w:tc>
        <w:tc>
          <w:tcPr>
            <w:tcW w:w="1896" w:type="dxa"/>
            <w:vAlign w:val="center"/>
          </w:tcPr>
          <w:p w14:paraId="4FC93D46">
            <w:pPr>
              <w:widowControl/>
              <w:jc w:val="center"/>
              <w:textAlignment w:val="center"/>
              <w:rPr>
                <w:rFonts w:hint="eastAsia" w:ascii="宋体" w:hAnsi="宋体" w:eastAsia="宋体"/>
                <w:color w:val="000000"/>
                <w:sz w:val="24"/>
                <w:szCs w:val="28"/>
              </w:rPr>
            </w:pPr>
            <w:r>
              <w:rPr>
                <w:rFonts w:hint="eastAsia" w:ascii="宋体" w:hAnsi="宋体" w:eastAsia="宋体"/>
                <w:color w:val="000000"/>
                <w:sz w:val="24"/>
                <w:szCs w:val="28"/>
              </w:rPr>
              <w:t>深信服</w:t>
            </w:r>
          </w:p>
          <w:p w14:paraId="76407F5E">
            <w:pPr>
              <w:widowControl/>
              <w:jc w:val="center"/>
              <w:textAlignment w:val="center"/>
              <w:rPr>
                <w:rFonts w:hint="eastAsia" w:ascii="宋体" w:hAnsi="宋体" w:eastAsia="宋体" w:cs="宋体"/>
                <w:sz w:val="20"/>
                <w:szCs w:val="20"/>
              </w:rPr>
            </w:pPr>
            <w:r>
              <w:rPr>
                <w:rFonts w:hint="eastAsia" w:ascii="宋体" w:hAnsi="宋体" w:eastAsia="宋体"/>
                <w:color w:val="000000"/>
                <w:sz w:val="24"/>
                <w:szCs w:val="28"/>
              </w:rPr>
              <w:t>OSM-1000-B1150</w:t>
            </w:r>
          </w:p>
        </w:tc>
        <w:tc>
          <w:tcPr>
            <w:tcW w:w="4814" w:type="dxa"/>
            <w:vAlign w:val="center"/>
          </w:tcPr>
          <w:p w14:paraId="6881AE49">
            <w:pPr>
              <w:widowControl/>
              <w:textAlignment w:val="center"/>
              <w:rPr>
                <w:rFonts w:hint="eastAsia" w:ascii="宋体" w:hAnsi="宋体" w:eastAsia="宋体" w:cs="宋体"/>
                <w:sz w:val="20"/>
                <w:szCs w:val="20"/>
              </w:rPr>
            </w:pPr>
            <w:r>
              <w:rPr>
                <w:rFonts w:hint="eastAsia" w:ascii="宋体" w:hAnsi="宋体" w:eastAsia="宋体" w:cs="宋体"/>
                <w:sz w:val="20"/>
                <w:szCs w:val="20"/>
              </w:rPr>
              <w:t>1、性能参数：包含运维授权数</w:t>
            </w:r>
            <w:r>
              <w:rPr>
                <w:rFonts w:ascii="宋体" w:hAnsi="宋体" w:eastAsia="宋体" w:cs="宋体"/>
                <w:sz w:val="20"/>
                <w:szCs w:val="20"/>
              </w:rPr>
              <w:t>≥</w:t>
            </w:r>
            <w:r>
              <w:rPr>
                <w:rFonts w:hint="eastAsia" w:ascii="宋体" w:hAnsi="宋体" w:eastAsia="宋体" w:cs="宋体"/>
                <w:sz w:val="20"/>
                <w:szCs w:val="20"/>
              </w:rPr>
              <w:t>50，最大可扩展资产数</w:t>
            </w:r>
            <w:r>
              <w:rPr>
                <w:rFonts w:ascii="宋体" w:hAnsi="宋体" w:eastAsia="宋体" w:cs="宋体"/>
                <w:sz w:val="20"/>
                <w:szCs w:val="20"/>
              </w:rPr>
              <w:t>≥</w:t>
            </w:r>
            <w:r>
              <w:rPr>
                <w:rFonts w:hint="eastAsia" w:ascii="宋体" w:hAnsi="宋体" w:eastAsia="宋体" w:cs="宋体"/>
                <w:sz w:val="20"/>
                <w:szCs w:val="20"/>
              </w:rPr>
              <w:t>150，图形运维最大并发数</w:t>
            </w:r>
            <w:r>
              <w:rPr>
                <w:rFonts w:ascii="宋体" w:hAnsi="宋体" w:eastAsia="宋体" w:cs="宋体"/>
                <w:sz w:val="20"/>
                <w:szCs w:val="20"/>
              </w:rPr>
              <w:t>≥</w:t>
            </w:r>
            <w:r>
              <w:rPr>
                <w:rFonts w:hint="eastAsia" w:ascii="宋体" w:hAnsi="宋体" w:eastAsia="宋体" w:cs="宋体"/>
                <w:sz w:val="20"/>
                <w:szCs w:val="20"/>
              </w:rPr>
              <w:t>100，字符运维最大并发数</w:t>
            </w:r>
            <w:r>
              <w:rPr>
                <w:rFonts w:ascii="宋体" w:hAnsi="宋体" w:eastAsia="宋体" w:cs="宋体"/>
                <w:sz w:val="20"/>
                <w:szCs w:val="20"/>
              </w:rPr>
              <w:t>≥</w:t>
            </w:r>
            <w:r>
              <w:rPr>
                <w:rFonts w:hint="eastAsia" w:ascii="宋体" w:hAnsi="宋体" w:eastAsia="宋体" w:cs="宋体"/>
                <w:sz w:val="20"/>
                <w:szCs w:val="20"/>
              </w:rPr>
              <w:t>200。内存</w:t>
            </w:r>
            <w:r>
              <w:rPr>
                <w:rFonts w:ascii="宋体" w:hAnsi="宋体" w:eastAsia="宋体" w:cs="宋体"/>
                <w:sz w:val="20"/>
                <w:szCs w:val="20"/>
              </w:rPr>
              <w:t>≥</w:t>
            </w:r>
            <w:r>
              <w:rPr>
                <w:rFonts w:hint="eastAsia" w:ascii="宋体" w:hAnsi="宋体" w:eastAsia="宋体" w:cs="宋体"/>
                <w:sz w:val="20"/>
                <w:szCs w:val="20"/>
              </w:rPr>
              <w:t>8G，硬盘</w:t>
            </w:r>
            <w:r>
              <w:rPr>
                <w:rFonts w:ascii="宋体" w:hAnsi="宋体" w:eastAsia="宋体" w:cs="宋体"/>
                <w:sz w:val="20"/>
                <w:szCs w:val="20"/>
              </w:rPr>
              <w:t>≥</w:t>
            </w:r>
            <w:r>
              <w:rPr>
                <w:rFonts w:hint="eastAsia" w:ascii="宋体" w:hAnsi="宋体" w:eastAsia="宋体" w:cs="宋体"/>
                <w:sz w:val="20"/>
                <w:szCs w:val="20"/>
              </w:rPr>
              <w:t>2T SATA，接口</w:t>
            </w:r>
            <w:r>
              <w:rPr>
                <w:rFonts w:ascii="宋体" w:hAnsi="宋体" w:eastAsia="宋体" w:cs="宋体"/>
                <w:sz w:val="20"/>
                <w:szCs w:val="20"/>
              </w:rPr>
              <w:t>≥</w:t>
            </w:r>
            <w:r>
              <w:rPr>
                <w:rFonts w:hint="eastAsia" w:ascii="宋体" w:hAnsi="宋体" w:eastAsia="宋体" w:cs="宋体"/>
                <w:sz w:val="20"/>
                <w:szCs w:val="20"/>
              </w:rPr>
              <w:t>6千兆电口</w:t>
            </w:r>
          </w:p>
          <w:p w14:paraId="2E5A3D83">
            <w:pPr>
              <w:widowControl/>
              <w:textAlignment w:val="center"/>
              <w:rPr>
                <w:rFonts w:hint="eastAsia" w:ascii="宋体" w:hAnsi="宋体" w:eastAsia="宋体" w:cs="宋体"/>
                <w:sz w:val="20"/>
                <w:szCs w:val="20"/>
              </w:rPr>
            </w:pPr>
            <w:r>
              <w:rPr>
                <w:rFonts w:hint="eastAsia" w:ascii="宋体" w:hAnsi="宋体" w:eastAsia="宋体" w:cs="宋体"/>
                <w:sz w:val="20"/>
                <w:szCs w:val="20"/>
              </w:rPr>
              <w:t>2、物理旁路单臂部署，以逻辑网关方式工作；不改变现有网络结构；</w:t>
            </w:r>
            <w:r>
              <w:rPr>
                <w:rFonts w:hint="eastAsia" w:ascii="宋体" w:hAnsi="宋体" w:eastAsia="宋体" w:cs="宋体"/>
                <w:sz w:val="20"/>
                <w:szCs w:val="20"/>
              </w:rPr>
              <w:br w:type="textWrapping"/>
            </w:r>
            <w:r>
              <w:rPr>
                <w:rFonts w:hint="eastAsia" w:ascii="宋体" w:hAnsi="宋体" w:eastAsia="宋体" w:cs="宋体"/>
                <w:sz w:val="20"/>
                <w:szCs w:val="20"/>
              </w:rPr>
              <w:t>3、支持通过动作流配置提供广泛的应用接入支持，无论被接入的资源如何设计登录动作，通过动作流配置都可以实现单点登陆和审计接入</w:t>
            </w:r>
            <w:r>
              <w:rPr>
                <w:rFonts w:hint="eastAsia" w:ascii="宋体" w:hAnsi="宋体" w:eastAsia="宋体" w:cs="宋体"/>
                <w:sz w:val="20"/>
                <w:szCs w:val="20"/>
              </w:rPr>
              <w:br w:type="textWrapping"/>
            </w:r>
            <w:r>
              <w:rPr>
                <w:rFonts w:hint="eastAsia" w:ascii="宋体" w:hAnsi="宋体" w:eastAsia="宋体" w:cs="宋体"/>
                <w:sz w:val="20"/>
                <w:szCs w:val="20"/>
              </w:rPr>
              <w:t>4、用户登陆认证方式支持静态口令认证、手机动态口令认证、Usbkey（数字证书）认证、AD域认证、Radius认证等认证方式；并支持各种认证方式和静态口令组合认证</w:t>
            </w:r>
            <w:r>
              <w:rPr>
                <w:rFonts w:hint="eastAsia" w:ascii="宋体" w:hAnsi="宋体" w:eastAsia="宋体" w:cs="宋体"/>
                <w:sz w:val="20"/>
                <w:szCs w:val="20"/>
              </w:rPr>
              <w:br w:type="textWrapping"/>
            </w:r>
            <w:r>
              <w:rPr>
                <w:rFonts w:hint="eastAsia" w:ascii="宋体" w:hAnsi="宋体" w:eastAsia="宋体" w:cs="宋体"/>
                <w:sz w:val="20"/>
                <w:szCs w:val="20"/>
              </w:rPr>
              <w:t>5、支持Windows AD域账号与堡垒主机账号周期比对，自动或手动删除或锁定失效的域账号（提供资料证明并加盖原厂公章）</w:t>
            </w:r>
            <w:r>
              <w:rPr>
                <w:rFonts w:hint="eastAsia" w:ascii="宋体" w:hAnsi="宋体" w:eastAsia="宋体" w:cs="宋体"/>
                <w:sz w:val="20"/>
                <w:szCs w:val="20"/>
              </w:rPr>
              <w:br w:type="textWrapping"/>
            </w:r>
            <w:r>
              <w:rPr>
                <w:rFonts w:hint="eastAsia" w:ascii="宋体" w:hAnsi="宋体" w:eastAsia="宋体" w:cs="宋体"/>
                <w:sz w:val="20"/>
                <w:szCs w:val="20"/>
              </w:rPr>
              <w:t>6、内置三员角色的同时支持角色灵活自定义，可根据用户实际的管理特性或特殊的安全管理组织架构，划分管理角色的管理范畴</w:t>
            </w:r>
            <w:r>
              <w:rPr>
                <w:rFonts w:hint="eastAsia" w:ascii="宋体" w:hAnsi="宋体" w:eastAsia="宋体" w:cs="宋体"/>
                <w:sz w:val="20"/>
                <w:szCs w:val="20"/>
              </w:rPr>
              <w:br w:type="textWrapping"/>
            </w:r>
            <w:r>
              <w:rPr>
                <w:rFonts w:hint="eastAsia" w:ascii="宋体" w:hAnsi="宋体" w:eastAsia="宋体" w:cs="宋体"/>
                <w:sz w:val="20"/>
                <w:szCs w:val="20"/>
              </w:rPr>
              <w:t>7、支持RDP安全模式（RDP、NLA、TLS、ANY）设置，以适应RDP-Tcp属性中的所有功能配置，包括加密级别为客户端兼容、低、高、符合FIPS标准等加密级别（提供资料证明并加盖原厂公章）</w:t>
            </w:r>
            <w:r>
              <w:rPr>
                <w:rFonts w:hint="eastAsia" w:ascii="宋体" w:hAnsi="宋体" w:eastAsia="宋体" w:cs="宋体"/>
                <w:sz w:val="20"/>
                <w:szCs w:val="20"/>
              </w:rPr>
              <w:br w:type="textWrapping"/>
            </w:r>
            <w:r>
              <w:rPr>
                <w:rFonts w:hint="eastAsia" w:ascii="宋体" w:hAnsi="宋体" w:eastAsia="宋体" w:cs="宋体"/>
                <w:sz w:val="20"/>
                <w:szCs w:val="20"/>
              </w:rPr>
              <w:t>8、支持跨部门的交叉授权操作，部门资源管理员可将本部门资源授权给其他部门用户，实现资源临时/长期跨部门访问（提供资料证明并加盖原厂公章）</w:t>
            </w:r>
            <w:r>
              <w:rPr>
                <w:rFonts w:hint="eastAsia" w:ascii="宋体" w:hAnsi="宋体" w:eastAsia="宋体" w:cs="宋体"/>
                <w:sz w:val="20"/>
                <w:szCs w:val="20"/>
              </w:rPr>
              <w:br w:type="textWrapping"/>
            </w:r>
            <w:r>
              <w:rPr>
                <w:rFonts w:hint="eastAsia" w:ascii="宋体" w:hAnsi="宋体" w:eastAsia="宋体" w:cs="宋体"/>
                <w:sz w:val="20"/>
                <w:szCs w:val="20"/>
              </w:rPr>
              <w:t>9、支持命令审批规则，用户执行高危命令时需要管理员审批后才允许执行；命令审批规则可以指定运维人员、访问设备、设备账号及命令审批人</w:t>
            </w:r>
            <w:r>
              <w:rPr>
                <w:rFonts w:hint="eastAsia" w:ascii="宋体" w:hAnsi="宋体" w:eastAsia="宋体" w:cs="宋体"/>
                <w:sz w:val="20"/>
                <w:szCs w:val="20"/>
              </w:rPr>
              <w:br w:type="textWrapping"/>
            </w:r>
            <w:r>
              <w:rPr>
                <w:rFonts w:hint="eastAsia" w:ascii="宋体" w:hAnsi="宋体" w:eastAsia="宋体" w:cs="宋体"/>
                <w:sz w:val="20"/>
                <w:szCs w:val="20"/>
              </w:rPr>
              <w:t>10、图形资源访问时，支持键盘、剪切板、窗口标题、文件传输记录，并且对图形资源的审计回放时，可以从某个键盘、剪切板、窗口标题、文件传输记录的指定位置开始回放（提供资料证明并加盖原厂公章）</w:t>
            </w:r>
            <w:r>
              <w:rPr>
                <w:rFonts w:hint="eastAsia" w:ascii="宋体" w:hAnsi="宋体" w:eastAsia="宋体" w:cs="宋体"/>
                <w:sz w:val="20"/>
                <w:szCs w:val="20"/>
              </w:rPr>
              <w:br w:type="textWrapping"/>
            </w:r>
            <w:r>
              <w:rPr>
                <w:rFonts w:hint="eastAsia" w:ascii="宋体" w:hAnsi="宋体" w:eastAsia="宋体" w:cs="宋体"/>
                <w:sz w:val="20"/>
                <w:szCs w:val="20"/>
              </w:rPr>
              <w:t>11、支持运维审计日志在线播放，并且支持离线下载后使用专用离线播放器播放</w:t>
            </w:r>
            <w:r>
              <w:rPr>
                <w:rFonts w:hint="eastAsia" w:ascii="宋体" w:hAnsi="宋体" w:eastAsia="宋体" w:cs="宋体"/>
                <w:sz w:val="20"/>
                <w:szCs w:val="20"/>
              </w:rPr>
              <w:br w:type="textWrapping"/>
            </w:r>
            <w:r>
              <w:rPr>
                <w:rFonts w:hint="eastAsia" w:ascii="宋体" w:hAnsi="宋体" w:eastAsia="宋体" w:cs="宋体"/>
                <w:sz w:val="20"/>
                <w:szCs w:val="20"/>
              </w:rPr>
              <w:t>12、全面支持Windows、linux、国产麒麟系统、Android、IOS、Mac OS等客户端操作系统下的H5页面一站式运维，实现跨终端适应性BYOD（Bring Your Own Device）（提供资料证明并加盖原厂公章）</w:t>
            </w:r>
          </w:p>
        </w:tc>
        <w:tc>
          <w:tcPr>
            <w:tcW w:w="716" w:type="dxa"/>
            <w:vAlign w:val="center"/>
          </w:tcPr>
          <w:p w14:paraId="56F6A241">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1台</w:t>
            </w:r>
          </w:p>
        </w:tc>
        <w:tc>
          <w:tcPr>
            <w:tcW w:w="2072" w:type="dxa"/>
          </w:tcPr>
          <w:p w14:paraId="64250781">
            <w:pPr>
              <w:widowControl/>
              <w:textAlignment w:val="center"/>
              <w:rPr>
                <w:rFonts w:hint="eastAsia" w:ascii="宋体" w:hAnsi="宋体" w:eastAsia="宋体" w:cs="宋体"/>
                <w:sz w:val="20"/>
                <w:szCs w:val="20"/>
              </w:rPr>
            </w:pPr>
          </w:p>
          <w:p w14:paraId="7276002C">
            <w:pPr>
              <w:widowControl/>
              <w:textAlignment w:val="center"/>
              <w:rPr>
                <w:rFonts w:hint="eastAsia" w:ascii="宋体" w:hAnsi="宋体" w:eastAsia="宋体" w:cs="宋体"/>
                <w:sz w:val="20"/>
                <w:szCs w:val="20"/>
              </w:rPr>
            </w:pPr>
          </w:p>
          <w:p w14:paraId="55F5405B">
            <w:pPr>
              <w:widowControl/>
              <w:textAlignment w:val="center"/>
              <w:rPr>
                <w:rFonts w:hint="eastAsia" w:ascii="宋体" w:hAnsi="宋体" w:eastAsia="宋体" w:cs="宋体"/>
                <w:sz w:val="20"/>
                <w:szCs w:val="20"/>
              </w:rPr>
            </w:pPr>
          </w:p>
          <w:p w14:paraId="32B49652">
            <w:pPr>
              <w:widowControl/>
              <w:textAlignment w:val="center"/>
              <w:rPr>
                <w:rFonts w:hint="eastAsia" w:ascii="宋体" w:hAnsi="宋体" w:eastAsia="宋体" w:cs="宋体"/>
                <w:sz w:val="20"/>
                <w:szCs w:val="20"/>
              </w:rPr>
            </w:pPr>
          </w:p>
          <w:p w14:paraId="370F7C8E">
            <w:pPr>
              <w:widowControl/>
              <w:textAlignment w:val="center"/>
              <w:rPr>
                <w:rFonts w:hint="eastAsia" w:ascii="宋体" w:hAnsi="宋体" w:eastAsia="宋体" w:cs="宋体"/>
                <w:sz w:val="20"/>
                <w:szCs w:val="20"/>
              </w:rPr>
            </w:pPr>
          </w:p>
          <w:p w14:paraId="335A3493">
            <w:pPr>
              <w:widowControl/>
              <w:textAlignment w:val="center"/>
              <w:rPr>
                <w:rFonts w:hint="eastAsia" w:ascii="宋体" w:hAnsi="宋体" w:eastAsia="宋体" w:cs="宋体"/>
                <w:sz w:val="20"/>
                <w:szCs w:val="20"/>
              </w:rPr>
            </w:pPr>
          </w:p>
          <w:p w14:paraId="598716E5">
            <w:pPr>
              <w:widowControl/>
              <w:textAlignment w:val="center"/>
              <w:rPr>
                <w:rFonts w:hint="eastAsia" w:ascii="宋体" w:hAnsi="宋体" w:eastAsia="宋体" w:cs="宋体"/>
                <w:sz w:val="20"/>
                <w:szCs w:val="20"/>
              </w:rPr>
            </w:pPr>
          </w:p>
          <w:p w14:paraId="6C23069A">
            <w:pPr>
              <w:widowControl/>
              <w:textAlignment w:val="center"/>
              <w:rPr>
                <w:rFonts w:hint="eastAsia" w:ascii="宋体" w:hAnsi="宋体" w:eastAsia="宋体" w:cs="宋体"/>
                <w:sz w:val="20"/>
                <w:szCs w:val="20"/>
              </w:rPr>
            </w:pPr>
          </w:p>
          <w:p w14:paraId="0C4D7D6C">
            <w:pPr>
              <w:widowControl/>
              <w:textAlignment w:val="center"/>
              <w:rPr>
                <w:rFonts w:hint="eastAsia" w:ascii="宋体" w:hAnsi="宋体" w:eastAsia="宋体" w:cs="宋体"/>
                <w:sz w:val="20"/>
                <w:szCs w:val="20"/>
              </w:rPr>
            </w:pPr>
          </w:p>
          <w:p w14:paraId="6251D442">
            <w:pPr>
              <w:widowControl/>
              <w:textAlignment w:val="center"/>
              <w:rPr>
                <w:rFonts w:hint="eastAsia" w:ascii="宋体" w:hAnsi="宋体" w:eastAsia="宋体" w:cs="宋体"/>
                <w:sz w:val="20"/>
                <w:szCs w:val="20"/>
              </w:rPr>
            </w:pPr>
          </w:p>
          <w:p w14:paraId="769FAFA1">
            <w:pPr>
              <w:widowControl/>
              <w:textAlignment w:val="center"/>
              <w:rPr>
                <w:rFonts w:hint="eastAsia" w:ascii="宋体" w:hAnsi="宋体" w:eastAsia="宋体" w:cs="宋体"/>
                <w:sz w:val="20"/>
                <w:szCs w:val="20"/>
              </w:rPr>
            </w:pPr>
            <w:r>
              <w:rPr>
                <w:rFonts w:hint="eastAsia" w:ascii="宋体" w:hAnsi="宋体" w:eastAsia="宋体" w:cs="宋体"/>
                <w:sz w:val="20"/>
                <w:szCs w:val="20"/>
              </w:rPr>
              <w:t>含全模块，质保三年</w:t>
            </w:r>
          </w:p>
        </w:tc>
      </w:tr>
      <w:tr w14:paraId="6781C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70" w:type="dxa"/>
            <w:vAlign w:val="center"/>
          </w:tcPr>
          <w:p w14:paraId="08794BDF">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安全托管服务</w:t>
            </w:r>
          </w:p>
        </w:tc>
        <w:tc>
          <w:tcPr>
            <w:tcW w:w="1896" w:type="dxa"/>
            <w:vAlign w:val="center"/>
          </w:tcPr>
          <w:p w14:paraId="306068CE">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深信服</w:t>
            </w:r>
          </w:p>
          <w:p w14:paraId="7DA1628D">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MSS</w:t>
            </w:r>
          </w:p>
        </w:tc>
        <w:tc>
          <w:tcPr>
            <w:tcW w:w="4814" w:type="dxa"/>
            <w:vAlign w:val="center"/>
          </w:tcPr>
          <w:p w14:paraId="6364B26C">
            <w:pPr>
              <w:pStyle w:val="9"/>
              <w:widowControl/>
              <w:spacing w:after="160" w:line="28" w:lineRule="atLeast"/>
              <w:jc w:val="left"/>
              <w:rPr>
                <w:rFonts w:hint="eastAsia" w:ascii="宋体" w:hAnsi="宋体" w:eastAsia="宋体" w:cs="宋体"/>
                <w:sz w:val="20"/>
                <w:szCs w:val="20"/>
              </w:rPr>
            </w:pPr>
            <w:r>
              <w:rPr>
                <w:rFonts w:hint="eastAsia" w:ascii="宋体" w:hAnsi="宋体" w:eastAsia="宋体" w:cs="宋体"/>
                <w:sz w:val="20"/>
                <w:szCs w:val="20"/>
              </w:rPr>
              <w:t>1、需配置一名安全专家作为专属服务经理，提供持续在线服务，安全专家需创建专属的服务微信群，对咨询或上报的安全问题进行及时响应并给出建议，本次服务资产数不少于5个服务器资产</w:t>
            </w:r>
          </w:p>
          <w:p w14:paraId="291DC5E2">
            <w:pPr>
              <w:pStyle w:val="9"/>
              <w:widowControl/>
              <w:spacing w:after="160" w:line="28" w:lineRule="atLeast"/>
              <w:jc w:val="left"/>
              <w:rPr>
                <w:rFonts w:hint="eastAsia" w:ascii="宋体" w:hAnsi="宋体" w:eastAsia="宋体" w:cs="宋体"/>
                <w:sz w:val="20"/>
                <w:szCs w:val="20"/>
              </w:rPr>
            </w:pPr>
            <w:r>
              <w:rPr>
                <w:rFonts w:hint="eastAsia" w:ascii="宋体" w:hAnsi="宋体" w:eastAsia="宋体" w:cs="宋体"/>
                <w:sz w:val="20"/>
                <w:szCs w:val="20"/>
              </w:rPr>
              <w:t>2、应具备云端7*24小时运行的服务平台，并具备以下能力提供专属的安全托管服务：</w:t>
            </w:r>
          </w:p>
          <w:p w14:paraId="763D311C">
            <w:pPr>
              <w:pStyle w:val="9"/>
              <w:widowControl/>
              <w:spacing w:after="160" w:line="28" w:lineRule="atLeast"/>
              <w:jc w:val="left"/>
              <w:rPr>
                <w:rFonts w:hint="eastAsia" w:ascii="宋体" w:hAnsi="宋体" w:eastAsia="宋体" w:cs="宋体"/>
                <w:sz w:val="20"/>
                <w:szCs w:val="20"/>
              </w:rPr>
            </w:pPr>
            <w:r>
              <w:rPr>
                <w:rFonts w:hint="eastAsia" w:ascii="宋体" w:hAnsi="宋体" w:eastAsia="宋体" w:cs="宋体"/>
                <w:sz w:val="20"/>
                <w:szCs w:val="20"/>
              </w:rPr>
              <w:t>3、服务配备的安全组件首次上线后，安全专家需对安全组件进行策略检查，给出策略优化方案，确保设备处于最佳防护状态</w:t>
            </w:r>
          </w:p>
          <w:p w14:paraId="2492005A">
            <w:pPr>
              <w:pStyle w:val="9"/>
              <w:widowControl/>
              <w:spacing w:after="160" w:line="28" w:lineRule="atLeast"/>
              <w:jc w:val="left"/>
              <w:rPr>
                <w:rFonts w:hint="eastAsia" w:ascii="宋体" w:hAnsi="宋体" w:eastAsia="宋体" w:cs="宋体"/>
                <w:sz w:val="20"/>
                <w:szCs w:val="20"/>
              </w:rPr>
            </w:pPr>
            <w:r>
              <w:rPr>
                <w:rFonts w:hint="eastAsia" w:ascii="宋体" w:hAnsi="宋体" w:eastAsia="宋体" w:cs="宋体"/>
                <w:sz w:val="20"/>
                <w:szCs w:val="20"/>
              </w:rPr>
              <w:t>4、安全托管服务平台应当支持对接招标方本次采购的防火墙/杀毒软件，支持实时接收安全设备检测到的安全事件信息、安全日志数据提供托管服务</w:t>
            </w:r>
          </w:p>
          <w:p w14:paraId="102435DE">
            <w:pPr>
              <w:pStyle w:val="9"/>
              <w:widowControl/>
              <w:spacing w:after="160" w:line="28" w:lineRule="atLeast"/>
              <w:jc w:val="left"/>
              <w:rPr>
                <w:rFonts w:hint="eastAsia" w:ascii="宋体" w:hAnsi="宋体" w:eastAsia="宋体" w:cs="宋体"/>
                <w:sz w:val="20"/>
                <w:szCs w:val="20"/>
              </w:rPr>
            </w:pPr>
            <w:r>
              <w:rPr>
                <w:rFonts w:hint="eastAsia" w:ascii="宋体" w:hAnsi="宋体" w:eastAsia="宋体" w:cs="宋体"/>
                <w:sz w:val="20"/>
                <w:szCs w:val="20"/>
              </w:rPr>
              <w:t>5、需提供服务的成果展示门户（或用户Portal），平台应具备服务质量可视化展示，投标方能通过可视化的数据，随时查看服务范围内业务资产安全状态，支持在线展示安全事件工单的处置进程和结果，支持在线对服务SLA进行查阅和监督，清晰的了解服务进展</w:t>
            </w:r>
          </w:p>
          <w:p w14:paraId="334EB282">
            <w:pPr>
              <w:pStyle w:val="9"/>
              <w:widowControl/>
              <w:spacing w:after="160" w:line="28" w:lineRule="atLeast"/>
              <w:jc w:val="left"/>
              <w:rPr>
                <w:rFonts w:hint="eastAsia" w:ascii="宋体" w:hAnsi="宋体" w:eastAsia="宋体" w:cs="宋体"/>
                <w:sz w:val="20"/>
                <w:szCs w:val="20"/>
              </w:rPr>
            </w:pPr>
            <w:r>
              <w:rPr>
                <w:rFonts w:hint="eastAsia" w:ascii="宋体" w:hAnsi="宋体" w:eastAsia="宋体" w:cs="宋体"/>
                <w:sz w:val="20"/>
                <w:szCs w:val="20"/>
              </w:rPr>
              <w:t>6、针对重大安全事件需有后端应急专家7*24H快速响应支撑，帮助对事件进行紧急遏制、分析事件的影响范围、针对事件发生原因进行溯源排查、提供对应的安全加固方案等，并通过服务群发送安全事件的响应情况通告。</w:t>
            </w:r>
          </w:p>
        </w:tc>
        <w:tc>
          <w:tcPr>
            <w:tcW w:w="716" w:type="dxa"/>
            <w:vAlign w:val="center"/>
          </w:tcPr>
          <w:p w14:paraId="6D2305A8">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1年</w:t>
            </w:r>
          </w:p>
        </w:tc>
        <w:tc>
          <w:tcPr>
            <w:tcW w:w="2072" w:type="dxa"/>
          </w:tcPr>
          <w:p w14:paraId="0F5F886F">
            <w:pPr>
              <w:widowControl/>
              <w:textAlignment w:val="center"/>
              <w:rPr>
                <w:rFonts w:hint="eastAsia" w:ascii="宋体" w:hAnsi="宋体" w:eastAsia="宋体" w:cs="宋体"/>
                <w:sz w:val="20"/>
                <w:szCs w:val="20"/>
              </w:rPr>
            </w:pPr>
            <w:r>
              <w:rPr>
                <w:rFonts w:hint="eastAsia" w:ascii="宋体" w:hAnsi="宋体" w:eastAsia="宋体" w:cs="宋体"/>
                <w:sz w:val="20"/>
                <w:szCs w:val="20"/>
              </w:rPr>
              <w:t>含勒索病毒理赔、安全运维托管、安全告警分析、后端技术专家支撑</w:t>
            </w:r>
          </w:p>
        </w:tc>
      </w:tr>
      <w:tr w14:paraId="678A5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70" w:type="dxa"/>
            <w:vAlign w:val="center"/>
          </w:tcPr>
          <w:p w14:paraId="7865D097">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等保二级</w:t>
            </w:r>
          </w:p>
        </w:tc>
        <w:tc>
          <w:tcPr>
            <w:tcW w:w="1896" w:type="dxa"/>
            <w:vAlign w:val="center"/>
          </w:tcPr>
          <w:p w14:paraId="75001EB3">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w:t>
            </w:r>
          </w:p>
        </w:tc>
        <w:tc>
          <w:tcPr>
            <w:tcW w:w="4814" w:type="dxa"/>
            <w:vAlign w:val="center"/>
          </w:tcPr>
          <w:p w14:paraId="20A69DF5">
            <w:pPr>
              <w:widowControl/>
              <w:textAlignment w:val="center"/>
              <w:rPr>
                <w:rFonts w:hint="eastAsia" w:ascii="宋体" w:hAnsi="宋体" w:eastAsia="宋体" w:cs="宋体"/>
                <w:sz w:val="20"/>
                <w:szCs w:val="20"/>
              </w:rPr>
            </w:pPr>
            <w:r>
              <w:rPr>
                <w:rFonts w:hint="eastAsia" w:ascii="宋体" w:hAnsi="宋体" w:eastAsia="宋体" w:cs="宋体"/>
                <w:sz w:val="20"/>
                <w:szCs w:val="20"/>
              </w:rPr>
              <w:t>等保备案定级二级</w:t>
            </w:r>
          </w:p>
        </w:tc>
        <w:tc>
          <w:tcPr>
            <w:tcW w:w="716" w:type="dxa"/>
            <w:vAlign w:val="center"/>
          </w:tcPr>
          <w:p w14:paraId="33068D42">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1个</w:t>
            </w:r>
          </w:p>
        </w:tc>
        <w:tc>
          <w:tcPr>
            <w:tcW w:w="2072" w:type="dxa"/>
          </w:tcPr>
          <w:p w14:paraId="63FD2F10">
            <w:pPr>
              <w:widowControl/>
              <w:jc w:val="center"/>
              <w:textAlignment w:val="center"/>
              <w:rPr>
                <w:rFonts w:hint="eastAsia" w:ascii="宋体" w:hAnsi="宋体" w:eastAsia="宋体" w:cs="宋体"/>
                <w:sz w:val="20"/>
                <w:szCs w:val="20"/>
              </w:rPr>
            </w:pPr>
          </w:p>
        </w:tc>
      </w:tr>
      <w:bookmarkEnd w:id="0"/>
    </w:tbl>
    <w:p w14:paraId="131C1325">
      <w:pPr>
        <w:rPr>
          <w:rFonts w:hint="eastAsia" w:ascii="宋体" w:hAnsi="宋体" w:eastAsia="宋体" w:cs="宋体"/>
          <w:b/>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C86B6E"/>
    <w:multiLevelType w:val="multilevel"/>
    <w:tmpl w:val="F6C86B6E"/>
    <w:lvl w:ilvl="0" w:tentative="0">
      <w:start w:val="1"/>
      <w:numFmt w:val="decimal"/>
      <w:suff w:val="nothing"/>
      <w:lvlText w:val="%1、"/>
      <w:lvlJc w:val="left"/>
      <w:pPr>
        <w:ind w:left="0" w:firstLine="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000000E"/>
    <w:multiLevelType w:val="multilevel"/>
    <w:tmpl w:val="0000000E"/>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3"/>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
    <w:nsid w:val="00000011"/>
    <w:multiLevelType w:val="multilevel"/>
    <w:tmpl w:val="00000011"/>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2"/>
      <w:lvlText w:val="%1.%2.%3."/>
      <w:lvlJc w:val="left"/>
      <w:pPr>
        <w:tabs>
          <w:tab w:val="left" w:pos="0"/>
        </w:tabs>
        <w:ind w:left="0" w:firstLine="0"/>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1"/>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4NTMwNjNiNTEyOTIxNmI3YzEzZGQwMTJlZTU2YjUifQ=="/>
  </w:docVars>
  <w:rsids>
    <w:rsidRoot w:val="00172A27"/>
    <w:rsid w:val="00033817"/>
    <w:rsid w:val="000655FB"/>
    <w:rsid w:val="000704DB"/>
    <w:rsid w:val="000838DE"/>
    <w:rsid w:val="00093460"/>
    <w:rsid w:val="000C4B90"/>
    <w:rsid w:val="00130975"/>
    <w:rsid w:val="00172A27"/>
    <w:rsid w:val="00177DE6"/>
    <w:rsid w:val="00185488"/>
    <w:rsid w:val="001A538F"/>
    <w:rsid w:val="001F0D7C"/>
    <w:rsid w:val="002E414B"/>
    <w:rsid w:val="003000D3"/>
    <w:rsid w:val="00300C72"/>
    <w:rsid w:val="00334EE0"/>
    <w:rsid w:val="0041042D"/>
    <w:rsid w:val="004A083E"/>
    <w:rsid w:val="00512AA2"/>
    <w:rsid w:val="00512CB5"/>
    <w:rsid w:val="00542B11"/>
    <w:rsid w:val="00577282"/>
    <w:rsid w:val="005938DF"/>
    <w:rsid w:val="00595D74"/>
    <w:rsid w:val="005A4CF5"/>
    <w:rsid w:val="005E2D78"/>
    <w:rsid w:val="006666D5"/>
    <w:rsid w:val="006A39CB"/>
    <w:rsid w:val="006C00AB"/>
    <w:rsid w:val="006D587F"/>
    <w:rsid w:val="006F3495"/>
    <w:rsid w:val="00724F09"/>
    <w:rsid w:val="007701D6"/>
    <w:rsid w:val="00770BB7"/>
    <w:rsid w:val="007B5320"/>
    <w:rsid w:val="00813D4A"/>
    <w:rsid w:val="00865E0D"/>
    <w:rsid w:val="00874F90"/>
    <w:rsid w:val="008C2F3F"/>
    <w:rsid w:val="00904FFD"/>
    <w:rsid w:val="00922E70"/>
    <w:rsid w:val="009449F7"/>
    <w:rsid w:val="009466B1"/>
    <w:rsid w:val="009A4B9D"/>
    <w:rsid w:val="00A45DB7"/>
    <w:rsid w:val="00AA0664"/>
    <w:rsid w:val="00B51638"/>
    <w:rsid w:val="00B77894"/>
    <w:rsid w:val="00BB0CFD"/>
    <w:rsid w:val="00BE0D27"/>
    <w:rsid w:val="00C036A2"/>
    <w:rsid w:val="00CD337E"/>
    <w:rsid w:val="00D052CA"/>
    <w:rsid w:val="00D0621C"/>
    <w:rsid w:val="00D2036F"/>
    <w:rsid w:val="00D3371D"/>
    <w:rsid w:val="00D418E9"/>
    <w:rsid w:val="00D56DA9"/>
    <w:rsid w:val="00D573DC"/>
    <w:rsid w:val="00D83D7F"/>
    <w:rsid w:val="00DC3297"/>
    <w:rsid w:val="00E025B9"/>
    <w:rsid w:val="00EF219E"/>
    <w:rsid w:val="00F214FC"/>
    <w:rsid w:val="00F30FE8"/>
    <w:rsid w:val="02FB64FE"/>
    <w:rsid w:val="0372275B"/>
    <w:rsid w:val="03813689"/>
    <w:rsid w:val="053A6D9D"/>
    <w:rsid w:val="07DC0889"/>
    <w:rsid w:val="093E6D59"/>
    <w:rsid w:val="09E0077E"/>
    <w:rsid w:val="0A116BBF"/>
    <w:rsid w:val="0B4C33FA"/>
    <w:rsid w:val="0B6337B5"/>
    <w:rsid w:val="0B6905D6"/>
    <w:rsid w:val="0C542D5E"/>
    <w:rsid w:val="0D4673AE"/>
    <w:rsid w:val="0E2963C0"/>
    <w:rsid w:val="11C56BB4"/>
    <w:rsid w:val="12141A46"/>
    <w:rsid w:val="123C04C0"/>
    <w:rsid w:val="12C449B0"/>
    <w:rsid w:val="14472E03"/>
    <w:rsid w:val="14B410F9"/>
    <w:rsid w:val="1A3C0898"/>
    <w:rsid w:val="1C272B7D"/>
    <w:rsid w:val="1CEE2A36"/>
    <w:rsid w:val="1D4959FF"/>
    <w:rsid w:val="1F0465F9"/>
    <w:rsid w:val="1F4B6242"/>
    <w:rsid w:val="21D70E2E"/>
    <w:rsid w:val="225D0BE6"/>
    <w:rsid w:val="248A6F18"/>
    <w:rsid w:val="24C90695"/>
    <w:rsid w:val="255A6E86"/>
    <w:rsid w:val="25A522D5"/>
    <w:rsid w:val="25FC6B88"/>
    <w:rsid w:val="266F0A68"/>
    <w:rsid w:val="27280C17"/>
    <w:rsid w:val="27BA3F65"/>
    <w:rsid w:val="2A345BCA"/>
    <w:rsid w:val="2A62763E"/>
    <w:rsid w:val="2A700B16"/>
    <w:rsid w:val="2B28715E"/>
    <w:rsid w:val="2BC029AF"/>
    <w:rsid w:val="2BF25152"/>
    <w:rsid w:val="2D0258E2"/>
    <w:rsid w:val="2D3708F0"/>
    <w:rsid w:val="2E705448"/>
    <w:rsid w:val="2EDB42EF"/>
    <w:rsid w:val="2F2045C3"/>
    <w:rsid w:val="3161535F"/>
    <w:rsid w:val="319A1429"/>
    <w:rsid w:val="33BA6FD2"/>
    <w:rsid w:val="352B0FC0"/>
    <w:rsid w:val="36763A08"/>
    <w:rsid w:val="36C22BE2"/>
    <w:rsid w:val="37482A33"/>
    <w:rsid w:val="37C56A8B"/>
    <w:rsid w:val="3A8D375B"/>
    <w:rsid w:val="3B14592F"/>
    <w:rsid w:val="3D164997"/>
    <w:rsid w:val="3EB961EE"/>
    <w:rsid w:val="401B3B7D"/>
    <w:rsid w:val="41EF21B7"/>
    <w:rsid w:val="42D14F7D"/>
    <w:rsid w:val="42FC70A6"/>
    <w:rsid w:val="43004A7A"/>
    <w:rsid w:val="43645311"/>
    <w:rsid w:val="44556447"/>
    <w:rsid w:val="463F2DD3"/>
    <w:rsid w:val="46690BD8"/>
    <w:rsid w:val="475F7A93"/>
    <w:rsid w:val="48C3192F"/>
    <w:rsid w:val="4AFB78A3"/>
    <w:rsid w:val="4AFF7128"/>
    <w:rsid w:val="4B30406B"/>
    <w:rsid w:val="4C30104F"/>
    <w:rsid w:val="4F320445"/>
    <w:rsid w:val="4F7A0458"/>
    <w:rsid w:val="52A01422"/>
    <w:rsid w:val="52BA1E07"/>
    <w:rsid w:val="52C61456"/>
    <w:rsid w:val="53A13DDC"/>
    <w:rsid w:val="53DF24DA"/>
    <w:rsid w:val="54640FF7"/>
    <w:rsid w:val="5784466D"/>
    <w:rsid w:val="5E031A1A"/>
    <w:rsid w:val="608551C3"/>
    <w:rsid w:val="60D0626D"/>
    <w:rsid w:val="60D8063B"/>
    <w:rsid w:val="668D777C"/>
    <w:rsid w:val="67320F26"/>
    <w:rsid w:val="68B00491"/>
    <w:rsid w:val="68C04067"/>
    <w:rsid w:val="68D71260"/>
    <w:rsid w:val="69076303"/>
    <w:rsid w:val="691F0D53"/>
    <w:rsid w:val="6990057F"/>
    <w:rsid w:val="6D471016"/>
    <w:rsid w:val="6E403211"/>
    <w:rsid w:val="6EBD6BE7"/>
    <w:rsid w:val="738D2B29"/>
    <w:rsid w:val="7420296E"/>
    <w:rsid w:val="77683C4B"/>
    <w:rsid w:val="777C16A5"/>
    <w:rsid w:val="77C80B77"/>
    <w:rsid w:val="781813E1"/>
    <w:rsid w:val="79270CD8"/>
    <w:rsid w:val="79EC420F"/>
    <w:rsid w:val="7B3D3A31"/>
    <w:rsid w:val="7B8E26CB"/>
    <w:rsid w:val="7C125127"/>
    <w:rsid w:val="7D2C06D1"/>
    <w:rsid w:val="7DE21630"/>
    <w:rsid w:val="7E145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numPr>
        <w:ilvl w:val="2"/>
        <w:numId w:val="1"/>
      </w:numPr>
      <w:tabs>
        <w:tab w:val="left" w:pos="425"/>
        <w:tab w:val="left" w:pos="720"/>
      </w:tabs>
      <w:spacing w:beforeLines="50" w:afterLines="50"/>
      <w:outlineLvl w:val="2"/>
    </w:pPr>
    <w:rPr>
      <w:rFonts w:ascii="Arial" w:hAnsi="Arial"/>
      <w:b/>
      <w:sz w:val="28"/>
    </w:rPr>
  </w:style>
  <w:style w:type="paragraph" w:styleId="3">
    <w:name w:val="heading 4"/>
    <w:basedOn w:val="1"/>
    <w:next w:val="1"/>
    <w:qFormat/>
    <w:uiPriority w:val="0"/>
    <w:pPr>
      <w:keepNext/>
      <w:keepLines/>
      <w:numPr>
        <w:ilvl w:val="3"/>
        <w:numId w:val="2"/>
      </w:numPr>
      <w:tabs>
        <w:tab w:val="left" w:pos="432"/>
      </w:tabs>
      <w:spacing w:line="377" w:lineRule="auto"/>
      <w:outlineLvl w:val="3"/>
    </w:pPr>
    <w:rPr>
      <w:rFonts w:ascii="Arial" w:hAnsi="Arial"/>
      <w:bCs/>
      <w:szCs w:val="28"/>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Normal Indent"/>
    <w:basedOn w:val="1"/>
    <w:uiPriority w:val="99"/>
    <w:pPr>
      <w:widowControl/>
      <w:ind w:firstLine="420" w:firstLineChars="200"/>
      <w:jc w:val="left"/>
    </w:pPr>
    <w:rPr>
      <w:rFonts w:ascii="宋体" w:hAnsi="宋体" w:eastAsia="宋体" w:cs="宋体"/>
      <w:kern w:val="0"/>
      <w:sz w:val="24"/>
      <w:szCs w:val="24"/>
    </w:rPr>
  </w:style>
  <w:style w:type="paragraph" w:styleId="5">
    <w:name w:val="Body Text"/>
    <w:basedOn w:val="1"/>
    <w:qFormat/>
    <w:uiPriority w:val="1"/>
    <w:rPr>
      <w:sz w:val="32"/>
      <w:szCs w:val="32"/>
    </w:rPr>
  </w:style>
  <w:style w:type="paragraph" w:styleId="6">
    <w:name w:val="Date"/>
    <w:basedOn w:val="1"/>
    <w:next w:val="1"/>
    <w:link w:val="18"/>
    <w:semiHidden/>
    <w:unhideWhenUsed/>
    <w:qFormat/>
    <w:uiPriority w:val="99"/>
    <w:pPr>
      <w:ind w:left="100" w:leftChars="2500"/>
    </w:pPr>
  </w:style>
  <w:style w:type="paragraph" w:styleId="7">
    <w:name w:val="footer"/>
    <w:basedOn w:val="1"/>
    <w:link w:val="17"/>
    <w:autoRedefine/>
    <w:unhideWhenUsed/>
    <w:qFormat/>
    <w:uiPriority w:val="99"/>
    <w:pPr>
      <w:tabs>
        <w:tab w:val="center" w:pos="4153"/>
        <w:tab w:val="right" w:pos="8306"/>
      </w:tabs>
      <w:snapToGrid w:val="0"/>
      <w:jc w:val="left"/>
    </w:pPr>
    <w:rPr>
      <w:sz w:val="18"/>
      <w:szCs w:val="18"/>
    </w:rPr>
  </w:style>
  <w:style w:type="paragraph" w:styleId="8">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0"/>
    <w:rPr>
      <w:sz w:val="24"/>
      <w:szCs w:val="24"/>
    </w:rPr>
  </w:style>
  <w:style w:type="table" w:styleId="11">
    <w:name w:val="Table Grid"/>
    <w:basedOn w:val="10"/>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semiHidden/>
    <w:unhideWhenUsed/>
    <w:qFormat/>
    <w:uiPriority w:val="99"/>
    <w:rPr>
      <w:color w:val="0000FF"/>
      <w:u w:val="single"/>
    </w:rPr>
  </w:style>
  <w:style w:type="paragraph" w:styleId="14">
    <w:name w:val="List Paragraph"/>
    <w:basedOn w:val="1"/>
    <w:autoRedefine/>
    <w:qFormat/>
    <w:uiPriority w:val="34"/>
    <w:pPr>
      <w:ind w:firstLine="420" w:firstLineChars="200"/>
    </w:pPr>
  </w:style>
  <w:style w:type="paragraph" w:customStyle="1" w:styleId="15">
    <w:name w:val="正文首行缩进（安全）"/>
    <w:basedOn w:val="1"/>
    <w:next w:val="1"/>
    <w:autoRedefine/>
    <w:qFormat/>
    <w:locked/>
    <w:uiPriority w:val="0"/>
    <w:pPr>
      <w:widowControl/>
      <w:spacing w:line="360" w:lineRule="auto"/>
      <w:ind w:firstLine="480" w:firstLineChars="200"/>
      <w:jc w:val="left"/>
    </w:pPr>
    <w:rPr>
      <w:rFonts w:ascii="Arial" w:hAnsi="Arial" w:eastAsia="宋体" w:cs="Times New Roman"/>
      <w:kern w:val="0"/>
      <w:sz w:val="24"/>
      <w:szCs w:val="21"/>
    </w:rPr>
  </w:style>
  <w:style w:type="character" w:customStyle="1" w:styleId="16">
    <w:name w:val="页眉 字符"/>
    <w:basedOn w:val="12"/>
    <w:link w:val="8"/>
    <w:autoRedefine/>
    <w:qFormat/>
    <w:uiPriority w:val="99"/>
    <w:rPr>
      <w:sz w:val="18"/>
      <w:szCs w:val="18"/>
    </w:rPr>
  </w:style>
  <w:style w:type="character" w:customStyle="1" w:styleId="17">
    <w:name w:val="页脚 字符"/>
    <w:basedOn w:val="12"/>
    <w:link w:val="7"/>
    <w:qFormat/>
    <w:uiPriority w:val="99"/>
    <w:rPr>
      <w:sz w:val="18"/>
      <w:szCs w:val="18"/>
    </w:rPr>
  </w:style>
  <w:style w:type="character" w:customStyle="1" w:styleId="18">
    <w:name w:val="日期 字符"/>
    <w:basedOn w:val="12"/>
    <w:link w:val="6"/>
    <w:autoRedefine/>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4139</Words>
  <Characters>4637</Characters>
  <Lines>155</Lines>
  <Paragraphs>87</Paragraphs>
  <TotalTime>36</TotalTime>
  <ScaleCrop>false</ScaleCrop>
  <LinksUpToDate>false</LinksUpToDate>
  <CharactersWithSpaces>4646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2021-05-18T07:34:00Z</dcterms:created>
  <dc:creator>李 帅</dc:creator>
  <cp:lastModifiedBy>WPS_1582772830</cp:lastModifiedBy>
  <dcterms:modified xsi:type="dcterms:W3CDTF">2025-06-23T01:36:43Z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2ED606C50E3C4801A7A8D7E847879C01_13</vt:lpwstr>
  </property>
  <property fmtid="{D5CDD505-2E9C-101B-9397-08002B2CF9AE}" pid="4" name="KSOTemplateDocerSaveRecord">
    <vt:lpwstr>eyJoZGlkIjoiZDQyNGQ0NmNhZjg2ODNmMWY2YTIwZjYwMDAyNmVhNzAiLCJ1c2VySWQiOiI4Njg5MDMxMzgifQ==</vt:lpwstr>
  </property>
</Properties>
</file>